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3EC" w:rsidRDefault="001C33E5" w:rsidP="001C33E5">
      <w:pPr>
        <w:pStyle w:val="ListParagraph"/>
        <w:numPr>
          <w:ilvl w:val="0"/>
          <w:numId w:val="1"/>
        </w:numPr>
        <w:ind w:left="360"/>
        <w:rPr>
          <w:rFonts w:ascii="Times New Roman" w:hAnsi="Times New Roman"/>
          <w:b/>
          <w:sz w:val="24"/>
          <w:szCs w:val="24"/>
        </w:rPr>
      </w:pPr>
      <w:r w:rsidRPr="001C33E5">
        <w:rPr>
          <w:rFonts w:ascii="Times New Roman" w:hAnsi="Times New Roman"/>
          <w:b/>
          <w:sz w:val="24"/>
          <w:szCs w:val="24"/>
        </w:rPr>
        <w:t xml:space="preserve">Introduction </w:t>
      </w:r>
    </w:p>
    <w:p w:rsidR="00FC24A8" w:rsidRPr="00FC24A8" w:rsidRDefault="00FC24A8" w:rsidP="00FC24A8">
      <w:pPr>
        <w:spacing w:line="480" w:lineRule="auto"/>
        <w:ind w:firstLine="360"/>
        <w:jc w:val="both"/>
        <w:rPr>
          <w:rFonts w:ascii="Times New Roman" w:hAnsi="Times New Roman"/>
          <w:sz w:val="24"/>
          <w:szCs w:val="24"/>
        </w:rPr>
      </w:pPr>
      <w:r w:rsidRPr="00FC24A8">
        <w:rPr>
          <w:rFonts w:ascii="Times New Roman" w:hAnsi="Times New Roman"/>
          <w:sz w:val="24"/>
          <w:szCs w:val="24"/>
        </w:rPr>
        <w:t>Capital budgeting is used by businesses when selecting projects which add value to the company over the long term. Specifically, capital budgeting forms the cornerstone of decision making for any profit-making entity seeking to maximize its shareholders' wealth i.e. it is used to select from potential investments those which will maximize return to the shareholders. In this regards several different capital budgeting approaches are used including Net Present Value, Internal Rate of Return, and Payback period amongst others. (Dayananda, 2008)</w:t>
      </w:r>
    </w:p>
    <w:p w:rsidR="00FC24A8" w:rsidRPr="00FC24A8" w:rsidRDefault="00FC24A8" w:rsidP="00FC24A8">
      <w:pPr>
        <w:spacing w:line="480" w:lineRule="auto"/>
        <w:ind w:firstLine="360"/>
        <w:jc w:val="both"/>
        <w:rPr>
          <w:rFonts w:ascii="Times New Roman" w:hAnsi="Times New Roman"/>
          <w:sz w:val="24"/>
          <w:szCs w:val="24"/>
        </w:rPr>
      </w:pPr>
      <w:r w:rsidRPr="00FC24A8">
        <w:rPr>
          <w:rFonts w:ascii="Times New Roman" w:hAnsi="Times New Roman"/>
          <w:sz w:val="24"/>
          <w:szCs w:val="24"/>
        </w:rPr>
        <w:t>Net present value is one of the most commonly used capital budgeting techniques whereas any project with a positive NPV is considered to add value to the business and hence deemed acceptable. The key advantage of the said approach is that it only focuses on actual cash flows but also takes into the account time value of money making the method most widely used and accepted within the business decision-making process. (Dayananda, 2008)</w:t>
      </w:r>
    </w:p>
    <w:p w:rsidR="00FC24A8" w:rsidRPr="00FC24A8" w:rsidRDefault="00FC24A8" w:rsidP="00FC24A8">
      <w:pPr>
        <w:spacing w:line="480" w:lineRule="auto"/>
        <w:ind w:firstLine="360"/>
        <w:jc w:val="both"/>
        <w:rPr>
          <w:rFonts w:ascii="Times New Roman" w:hAnsi="Times New Roman"/>
          <w:sz w:val="24"/>
          <w:szCs w:val="24"/>
        </w:rPr>
      </w:pPr>
      <w:r w:rsidRPr="00FC24A8">
        <w:rPr>
          <w:rFonts w:ascii="Times New Roman" w:hAnsi="Times New Roman"/>
          <w:sz w:val="24"/>
          <w:szCs w:val="24"/>
        </w:rPr>
        <w:t>The internal rate of return on the other hand is the rate at which an investment NPV is equal to zero or a rate at which a project breaks even. Under the IRR decision rule, a project is deemed acceptable if its IRR is greater than the overall cost of capital or businesses hurdle rate. The approach like NPV takes into the account time value of money however in case of a conflict between NPV and IRR approaches NPV approach is preferred as it directly takes into account the addition in shareholders wealth. (Fabozzi, 2002)</w:t>
      </w:r>
    </w:p>
    <w:p w:rsidR="008B6030" w:rsidRDefault="00FC24A8" w:rsidP="00FC24A8">
      <w:pPr>
        <w:spacing w:line="480" w:lineRule="auto"/>
        <w:ind w:firstLine="360"/>
        <w:jc w:val="both"/>
        <w:rPr>
          <w:rFonts w:ascii="Times New Roman" w:hAnsi="Times New Roman"/>
          <w:sz w:val="24"/>
          <w:szCs w:val="24"/>
        </w:rPr>
      </w:pPr>
      <w:r w:rsidRPr="00FC24A8">
        <w:rPr>
          <w:rFonts w:ascii="Times New Roman" w:hAnsi="Times New Roman"/>
          <w:sz w:val="24"/>
          <w:szCs w:val="24"/>
        </w:rPr>
        <w:t xml:space="preserve">The payback period on the other hand takes into account the number of years it will take a business to recover its initial investment from projects cash flows. Under this approach, a project with the shortest payback period is deemed to be most attractive and considered for selection. </w:t>
      </w:r>
      <w:r w:rsidRPr="00FC24A8">
        <w:rPr>
          <w:rFonts w:ascii="Times New Roman" w:hAnsi="Times New Roman"/>
          <w:sz w:val="24"/>
          <w:szCs w:val="24"/>
        </w:rPr>
        <w:lastRenderedPageBreak/>
        <w:t>The approach however does not take into account the time value of money nor does it consider the overall profitability of the projects. (Fabozzi, 2002)</w:t>
      </w:r>
    </w:p>
    <w:p w:rsidR="00B05AA5" w:rsidRDefault="00B05AA5" w:rsidP="00B05AA5">
      <w:pPr>
        <w:pStyle w:val="ListParagraph"/>
        <w:numPr>
          <w:ilvl w:val="0"/>
          <w:numId w:val="1"/>
        </w:numPr>
        <w:ind w:left="360"/>
        <w:rPr>
          <w:rFonts w:ascii="Times New Roman" w:hAnsi="Times New Roman"/>
          <w:b/>
          <w:sz w:val="24"/>
          <w:szCs w:val="24"/>
        </w:rPr>
      </w:pPr>
      <w:r>
        <w:rPr>
          <w:rFonts w:ascii="Times New Roman" w:hAnsi="Times New Roman"/>
          <w:b/>
          <w:sz w:val="24"/>
          <w:szCs w:val="24"/>
        </w:rPr>
        <w:t>IRR analysis</w:t>
      </w:r>
    </w:p>
    <w:p w:rsidR="00B05AA5" w:rsidRDefault="00B05AA5" w:rsidP="00B05AA5">
      <w:pPr>
        <w:spacing w:line="480" w:lineRule="auto"/>
        <w:ind w:firstLine="360"/>
        <w:jc w:val="both"/>
        <w:rPr>
          <w:rFonts w:ascii="Times New Roman" w:hAnsi="Times New Roman"/>
          <w:sz w:val="24"/>
          <w:szCs w:val="24"/>
        </w:rPr>
      </w:pPr>
      <w:r w:rsidRPr="00B05AA5">
        <w:rPr>
          <w:rFonts w:ascii="Times New Roman" w:hAnsi="Times New Roman"/>
          <w:sz w:val="24"/>
          <w:szCs w:val="24"/>
        </w:rPr>
        <w:t>IRR of Projects A – E was calculated using excel’s IRR function and projected cash flows for each project. Results for the IRR analysis are presented below</w:t>
      </w:r>
      <w:r>
        <w:rPr>
          <w:rFonts w:ascii="Times New Roman" w:hAnsi="Times New Roman"/>
          <w:sz w:val="24"/>
          <w:szCs w:val="24"/>
        </w:rPr>
        <w:t>;</w:t>
      </w:r>
    </w:p>
    <w:tbl>
      <w:tblPr>
        <w:tblW w:w="5085" w:type="pct"/>
        <w:tblInd w:w="-162" w:type="dxa"/>
        <w:tblBorders>
          <w:top w:val="single" w:sz="4" w:space="0" w:color="auto"/>
          <w:left w:val="single" w:sz="4" w:space="0" w:color="auto"/>
          <w:bottom w:val="single" w:sz="4" w:space="0" w:color="auto"/>
          <w:right w:val="single" w:sz="4" w:space="0" w:color="auto"/>
        </w:tblBorders>
        <w:tblLook w:val="04A0"/>
      </w:tblPr>
      <w:tblGrid>
        <w:gridCol w:w="2088"/>
        <w:gridCol w:w="1632"/>
        <w:gridCol w:w="1463"/>
        <w:gridCol w:w="1463"/>
        <w:gridCol w:w="1463"/>
        <w:gridCol w:w="1630"/>
      </w:tblGrid>
      <w:tr w:rsidR="00B05AA5" w:rsidRPr="00B05AA5" w:rsidTr="008935B8">
        <w:trPr>
          <w:trHeight w:val="20"/>
        </w:trPr>
        <w:tc>
          <w:tcPr>
            <w:tcW w:w="1072" w:type="pct"/>
            <w:shd w:val="clear" w:color="auto" w:fill="548DD4" w:themeFill="text2" w:themeFillTint="99"/>
            <w:vAlign w:val="center"/>
            <w:hideMark/>
          </w:tcPr>
          <w:p w:rsidR="00B05AA5" w:rsidRPr="00B05AA5" w:rsidRDefault="00B05AA5" w:rsidP="008935B8">
            <w:pPr>
              <w:spacing w:after="0" w:line="360" w:lineRule="auto"/>
              <w:jc w:val="center"/>
              <w:rPr>
                <w:rFonts w:ascii="Times New Roman" w:eastAsia="Times New Roman" w:hAnsi="Times New Roman"/>
                <w:color w:val="FFFFFF" w:themeColor="background1"/>
                <w:sz w:val="24"/>
                <w:szCs w:val="24"/>
              </w:rPr>
            </w:pPr>
          </w:p>
        </w:tc>
        <w:tc>
          <w:tcPr>
            <w:tcW w:w="838" w:type="pct"/>
            <w:shd w:val="clear" w:color="auto" w:fill="548DD4" w:themeFill="text2" w:themeFillTint="99"/>
            <w:vAlign w:val="center"/>
            <w:hideMark/>
          </w:tcPr>
          <w:p w:rsidR="00B05AA5" w:rsidRPr="00B05AA5" w:rsidRDefault="00B05AA5" w:rsidP="008935B8">
            <w:pPr>
              <w:spacing w:after="0" w:line="360" w:lineRule="auto"/>
              <w:jc w:val="center"/>
              <w:rPr>
                <w:rFonts w:ascii="Times New Roman" w:eastAsia="Times New Roman" w:hAnsi="Times New Roman"/>
                <w:b/>
                <w:bCs/>
                <w:color w:val="FFFFFF" w:themeColor="background1"/>
                <w:sz w:val="24"/>
                <w:szCs w:val="24"/>
              </w:rPr>
            </w:pPr>
            <w:r w:rsidRPr="00B05AA5">
              <w:rPr>
                <w:rFonts w:ascii="Times New Roman" w:eastAsia="Times New Roman" w:hAnsi="Times New Roman"/>
                <w:b/>
                <w:bCs/>
                <w:color w:val="FFFFFF" w:themeColor="background1"/>
                <w:sz w:val="24"/>
                <w:szCs w:val="24"/>
              </w:rPr>
              <w:t>Project A</w:t>
            </w:r>
          </w:p>
        </w:tc>
        <w:tc>
          <w:tcPr>
            <w:tcW w:w="751" w:type="pct"/>
            <w:shd w:val="clear" w:color="auto" w:fill="548DD4" w:themeFill="text2" w:themeFillTint="99"/>
            <w:vAlign w:val="center"/>
            <w:hideMark/>
          </w:tcPr>
          <w:p w:rsidR="00B05AA5" w:rsidRPr="00B05AA5" w:rsidRDefault="00B05AA5" w:rsidP="008935B8">
            <w:pPr>
              <w:spacing w:after="0" w:line="360" w:lineRule="auto"/>
              <w:jc w:val="center"/>
              <w:rPr>
                <w:rFonts w:ascii="Times New Roman" w:eastAsia="Times New Roman" w:hAnsi="Times New Roman"/>
                <w:b/>
                <w:bCs/>
                <w:color w:val="FFFFFF" w:themeColor="background1"/>
                <w:sz w:val="24"/>
                <w:szCs w:val="24"/>
              </w:rPr>
            </w:pPr>
            <w:r w:rsidRPr="00B05AA5">
              <w:rPr>
                <w:rFonts w:ascii="Times New Roman" w:eastAsia="Times New Roman" w:hAnsi="Times New Roman"/>
                <w:b/>
                <w:bCs/>
                <w:color w:val="FFFFFF" w:themeColor="background1"/>
                <w:sz w:val="24"/>
                <w:szCs w:val="24"/>
              </w:rPr>
              <w:t>Project B</w:t>
            </w:r>
          </w:p>
        </w:tc>
        <w:tc>
          <w:tcPr>
            <w:tcW w:w="751" w:type="pct"/>
            <w:shd w:val="clear" w:color="auto" w:fill="548DD4" w:themeFill="text2" w:themeFillTint="99"/>
            <w:vAlign w:val="center"/>
            <w:hideMark/>
          </w:tcPr>
          <w:p w:rsidR="00B05AA5" w:rsidRPr="00B05AA5" w:rsidRDefault="00B05AA5" w:rsidP="008935B8">
            <w:pPr>
              <w:spacing w:after="0" w:line="360" w:lineRule="auto"/>
              <w:jc w:val="center"/>
              <w:rPr>
                <w:rFonts w:ascii="Times New Roman" w:eastAsia="Times New Roman" w:hAnsi="Times New Roman"/>
                <w:b/>
                <w:bCs/>
                <w:color w:val="FFFFFF" w:themeColor="background1"/>
                <w:sz w:val="24"/>
                <w:szCs w:val="24"/>
              </w:rPr>
            </w:pPr>
            <w:r w:rsidRPr="00B05AA5">
              <w:rPr>
                <w:rFonts w:ascii="Times New Roman" w:eastAsia="Times New Roman" w:hAnsi="Times New Roman"/>
                <w:b/>
                <w:bCs/>
                <w:color w:val="FFFFFF" w:themeColor="background1"/>
                <w:sz w:val="24"/>
                <w:szCs w:val="24"/>
              </w:rPr>
              <w:t>Project C</w:t>
            </w:r>
          </w:p>
        </w:tc>
        <w:tc>
          <w:tcPr>
            <w:tcW w:w="751" w:type="pct"/>
            <w:shd w:val="clear" w:color="auto" w:fill="548DD4" w:themeFill="text2" w:themeFillTint="99"/>
            <w:vAlign w:val="center"/>
            <w:hideMark/>
          </w:tcPr>
          <w:p w:rsidR="00B05AA5" w:rsidRPr="00B05AA5" w:rsidRDefault="00B05AA5" w:rsidP="008935B8">
            <w:pPr>
              <w:spacing w:after="0" w:line="360" w:lineRule="auto"/>
              <w:jc w:val="center"/>
              <w:rPr>
                <w:rFonts w:ascii="Times New Roman" w:eastAsia="Times New Roman" w:hAnsi="Times New Roman"/>
                <w:b/>
                <w:bCs/>
                <w:color w:val="FFFFFF" w:themeColor="background1"/>
                <w:sz w:val="24"/>
                <w:szCs w:val="24"/>
              </w:rPr>
            </w:pPr>
            <w:r w:rsidRPr="00B05AA5">
              <w:rPr>
                <w:rFonts w:ascii="Times New Roman" w:eastAsia="Times New Roman" w:hAnsi="Times New Roman"/>
                <w:b/>
                <w:bCs/>
                <w:color w:val="FFFFFF" w:themeColor="background1"/>
                <w:sz w:val="24"/>
                <w:szCs w:val="24"/>
              </w:rPr>
              <w:t>Project D</w:t>
            </w:r>
          </w:p>
        </w:tc>
        <w:tc>
          <w:tcPr>
            <w:tcW w:w="837" w:type="pct"/>
            <w:shd w:val="clear" w:color="auto" w:fill="548DD4" w:themeFill="text2" w:themeFillTint="99"/>
            <w:vAlign w:val="center"/>
            <w:hideMark/>
          </w:tcPr>
          <w:p w:rsidR="00B05AA5" w:rsidRPr="00B05AA5" w:rsidRDefault="00B05AA5" w:rsidP="008935B8">
            <w:pPr>
              <w:spacing w:after="0" w:line="360" w:lineRule="auto"/>
              <w:jc w:val="center"/>
              <w:rPr>
                <w:rFonts w:ascii="Times New Roman" w:eastAsia="Times New Roman" w:hAnsi="Times New Roman"/>
                <w:b/>
                <w:bCs/>
                <w:color w:val="FFFFFF" w:themeColor="background1"/>
                <w:sz w:val="24"/>
                <w:szCs w:val="24"/>
              </w:rPr>
            </w:pPr>
            <w:r w:rsidRPr="00B05AA5">
              <w:rPr>
                <w:rFonts w:ascii="Times New Roman" w:eastAsia="Times New Roman" w:hAnsi="Times New Roman"/>
                <w:b/>
                <w:bCs/>
                <w:color w:val="FFFFFF" w:themeColor="background1"/>
                <w:sz w:val="24"/>
                <w:szCs w:val="24"/>
              </w:rPr>
              <w:t>Project E</w:t>
            </w:r>
          </w:p>
        </w:tc>
      </w:tr>
      <w:tr w:rsidR="00B05AA5" w:rsidRPr="00B05AA5" w:rsidTr="008935B8">
        <w:trPr>
          <w:trHeight w:val="20"/>
        </w:trPr>
        <w:tc>
          <w:tcPr>
            <w:tcW w:w="1072" w:type="pct"/>
            <w:shd w:val="clear" w:color="auto" w:fill="auto"/>
            <w:vAlign w:val="center"/>
            <w:hideMark/>
          </w:tcPr>
          <w:p w:rsidR="00B05AA5" w:rsidRPr="00B05AA5" w:rsidRDefault="00B05AA5" w:rsidP="008935B8">
            <w:pPr>
              <w:spacing w:after="0" w:line="360" w:lineRule="auto"/>
              <w:jc w:val="center"/>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 xml:space="preserve">Initial </w:t>
            </w:r>
            <w:r w:rsidRPr="00B05AA5">
              <w:rPr>
                <w:rFonts w:ascii="Times New Roman" w:eastAsia="Times New Roman" w:hAnsi="Times New Roman"/>
                <w:b/>
                <w:bCs/>
                <w:color w:val="000000"/>
                <w:sz w:val="24"/>
                <w:szCs w:val="24"/>
              </w:rPr>
              <w:t>Investment</w:t>
            </w:r>
          </w:p>
        </w:tc>
        <w:tc>
          <w:tcPr>
            <w:tcW w:w="838"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(100,000)</w:t>
            </w:r>
          </w:p>
        </w:tc>
        <w:tc>
          <w:tcPr>
            <w:tcW w:w="751"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(25,000)</w:t>
            </w:r>
          </w:p>
        </w:tc>
        <w:tc>
          <w:tcPr>
            <w:tcW w:w="751"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(40,000)</w:t>
            </w:r>
          </w:p>
        </w:tc>
        <w:tc>
          <w:tcPr>
            <w:tcW w:w="751"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(10,000)</w:t>
            </w:r>
          </w:p>
        </w:tc>
        <w:tc>
          <w:tcPr>
            <w:tcW w:w="837"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(150,000)</w:t>
            </w:r>
          </w:p>
        </w:tc>
      </w:tr>
      <w:tr w:rsidR="00B05AA5" w:rsidRPr="00B05AA5" w:rsidTr="008935B8">
        <w:trPr>
          <w:trHeight w:val="20"/>
        </w:trPr>
        <w:tc>
          <w:tcPr>
            <w:tcW w:w="1072" w:type="pct"/>
            <w:shd w:val="clear" w:color="auto" w:fill="auto"/>
            <w:vAlign w:val="center"/>
            <w:hideMark/>
          </w:tcPr>
          <w:p w:rsidR="00B05AA5" w:rsidRPr="00B05AA5" w:rsidRDefault="00B05AA5" w:rsidP="008935B8">
            <w:pPr>
              <w:spacing w:after="0" w:line="360" w:lineRule="auto"/>
              <w:jc w:val="center"/>
              <w:rPr>
                <w:rFonts w:ascii="Times New Roman" w:eastAsia="Times New Roman" w:hAnsi="Times New Roman"/>
                <w:b/>
                <w:bCs/>
                <w:color w:val="000000"/>
                <w:sz w:val="24"/>
                <w:szCs w:val="24"/>
              </w:rPr>
            </w:pPr>
            <w:r w:rsidRPr="00B05AA5">
              <w:rPr>
                <w:rFonts w:ascii="Times New Roman" w:eastAsia="Times New Roman" w:hAnsi="Times New Roman"/>
                <w:b/>
                <w:bCs/>
                <w:color w:val="000000"/>
                <w:sz w:val="24"/>
                <w:szCs w:val="24"/>
              </w:rPr>
              <w:t>Year 1</w:t>
            </w:r>
          </w:p>
        </w:tc>
        <w:tc>
          <w:tcPr>
            <w:tcW w:w="838"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50,000</w:t>
            </w:r>
          </w:p>
        </w:tc>
        <w:tc>
          <w:tcPr>
            <w:tcW w:w="751"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15,000</w:t>
            </w:r>
          </w:p>
        </w:tc>
        <w:tc>
          <w:tcPr>
            <w:tcW w:w="751"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20,000</w:t>
            </w:r>
          </w:p>
        </w:tc>
        <w:tc>
          <w:tcPr>
            <w:tcW w:w="751"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7,000</w:t>
            </w:r>
          </w:p>
        </w:tc>
        <w:tc>
          <w:tcPr>
            <w:tcW w:w="837"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100,000</w:t>
            </w:r>
          </w:p>
        </w:tc>
      </w:tr>
      <w:tr w:rsidR="00B05AA5" w:rsidRPr="00B05AA5" w:rsidTr="008935B8">
        <w:trPr>
          <w:trHeight w:val="20"/>
        </w:trPr>
        <w:tc>
          <w:tcPr>
            <w:tcW w:w="1072" w:type="pct"/>
            <w:shd w:val="clear" w:color="auto" w:fill="auto"/>
            <w:vAlign w:val="center"/>
            <w:hideMark/>
          </w:tcPr>
          <w:p w:rsidR="00B05AA5" w:rsidRPr="00B05AA5" w:rsidRDefault="00B05AA5" w:rsidP="008935B8">
            <w:pPr>
              <w:spacing w:after="0" w:line="360" w:lineRule="auto"/>
              <w:jc w:val="center"/>
              <w:rPr>
                <w:rFonts w:ascii="Times New Roman" w:eastAsia="Times New Roman" w:hAnsi="Times New Roman"/>
                <w:b/>
                <w:bCs/>
                <w:color w:val="000000"/>
                <w:sz w:val="24"/>
                <w:szCs w:val="24"/>
              </w:rPr>
            </w:pPr>
            <w:r w:rsidRPr="00B05AA5">
              <w:rPr>
                <w:rFonts w:ascii="Times New Roman" w:eastAsia="Times New Roman" w:hAnsi="Times New Roman"/>
                <w:b/>
                <w:bCs/>
                <w:color w:val="000000"/>
                <w:sz w:val="24"/>
                <w:szCs w:val="24"/>
              </w:rPr>
              <w:t>Year 2</w:t>
            </w:r>
          </w:p>
        </w:tc>
        <w:tc>
          <w:tcPr>
            <w:tcW w:w="838"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40,000</w:t>
            </w:r>
          </w:p>
        </w:tc>
        <w:tc>
          <w:tcPr>
            <w:tcW w:w="751"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10,000</w:t>
            </w:r>
          </w:p>
        </w:tc>
        <w:tc>
          <w:tcPr>
            <w:tcW w:w="751"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15,000</w:t>
            </w:r>
          </w:p>
        </w:tc>
        <w:tc>
          <w:tcPr>
            <w:tcW w:w="751"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4,000</w:t>
            </w:r>
          </w:p>
        </w:tc>
        <w:tc>
          <w:tcPr>
            <w:tcW w:w="837"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25,000</w:t>
            </w:r>
          </w:p>
        </w:tc>
      </w:tr>
      <w:tr w:rsidR="00B05AA5" w:rsidRPr="00B05AA5" w:rsidTr="008935B8">
        <w:trPr>
          <w:trHeight w:val="20"/>
        </w:trPr>
        <w:tc>
          <w:tcPr>
            <w:tcW w:w="1072" w:type="pct"/>
            <w:shd w:val="clear" w:color="auto" w:fill="auto"/>
            <w:vAlign w:val="center"/>
            <w:hideMark/>
          </w:tcPr>
          <w:p w:rsidR="00B05AA5" w:rsidRPr="00B05AA5" w:rsidRDefault="00B05AA5" w:rsidP="008935B8">
            <w:pPr>
              <w:spacing w:after="0" w:line="360" w:lineRule="auto"/>
              <w:jc w:val="center"/>
              <w:rPr>
                <w:rFonts w:ascii="Times New Roman" w:eastAsia="Times New Roman" w:hAnsi="Times New Roman"/>
                <w:b/>
                <w:bCs/>
                <w:color w:val="000000"/>
                <w:sz w:val="24"/>
                <w:szCs w:val="24"/>
              </w:rPr>
            </w:pPr>
            <w:r w:rsidRPr="00B05AA5">
              <w:rPr>
                <w:rFonts w:ascii="Times New Roman" w:eastAsia="Times New Roman" w:hAnsi="Times New Roman"/>
                <w:b/>
                <w:bCs/>
                <w:color w:val="000000"/>
                <w:sz w:val="24"/>
                <w:szCs w:val="24"/>
              </w:rPr>
              <w:t>Year 3</w:t>
            </w:r>
          </w:p>
        </w:tc>
        <w:tc>
          <w:tcPr>
            <w:tcW w:w="838"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20,000</w:t>
            </w:r>
          </w:p>
        </w:tc>
        <w:tc>
          <w:tcPr>
            <w:tcW w:w="751"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5,000</w:t>
            </w:r>
          </w:p>
        </w:tc>
        <w:tc>
          <w:tcPr>
            <w:tcW w:w="751"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5,000</w:t>
            </w:r>
          </w:p>
        </w:tc>
        <w:tc>
          <w:tcPr>
            <w:tcW w:w="751"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2,000</w:t>
            </w:r>
          </w:p>
        </w:tc>
        <w:tc>
          <w:tcPr>
            <w:tcW w:w="837"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10,000</w:t>
            </w:r>
          </w:p>
        </w:tc>
      </w:tr>
      <w:tr w:rsidR="00B05AA5" w:rsidRPr="00B05AA5" w:rsidTr="008935B8">
        <w:trPr>
          <w:trHeight w:val="20"/>
        </w:trPr>
        <w:tc>
          <w:tcPr>
            <w:tcW w:w="1072" w:type="pct"/>
            <w:shd w:val="clear" w:color="auto" w:fill="auto"/>
            <w:vAlign w:val="center"/>
            <w:hideMark/>
          </w:tcPr>
          <w:p w:rsidR="00B05AA5" w:rsidRPr="00B05AA5" w:rsidRDefault="00B05AA5" w:rsidP="008935B8">
            <w:pPr>
              <w:spacing w:after="0" w:line="360" w:lineRule="auto"/>
              <w:jc w:val="center"/>
              <w:rPr>
                <w:rFonts w:ascii="Times New Roman" w:eastAsia="Times New Roman" w:hAnsi="Times New Roman"/>
                <w:b/>
                <w:bCs/>
                <w:color w:val="000000"/>
                <w:sz w:val="24"/>
                <w:szCs w:val="24"/>
              </w:rPr>
            </w:pPr>
            <w:r w:rsidRPr="00B05AA5">
              <w:rPr>
                <w:rFonts w:ascii="Times New Roman" w:eastAsia="Times New Roman" w:hAnsi="Times New Roman"/>
                <w:b/>
                <w:bCs/>
                <w:color w:val="000000"/>
                <w:sz w:val="24"/>
                <w:szCs w:val="24"/>
              </w:rPr>
              <w:t>Year 4</w:t>
            </w:r>
          </w:p>
        </w:tc>
        <w:tc>
          <w:tcPr>
            <w:tcW w:w="838"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10,000</w:t>
            </w:r>
          </w:p>
        </w:tc>
        <w:tc>
          <w:tcPr>
            <w:tcW w:w="751"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1,000</w:t>
            </w:r>
          </w:p>
        </w:tc>
        <w:tc>
          <w:tcPr>
            <w:tcW w:w="751"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5,000</w:t>
            </w:r>
          </w:p>
        </w:tc>
        <w:tc>
          <w:tcPr>
            <w:tcW w:w="751"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1,000</w:t>
            </w:r>
          </w:p>
        </w:tc>
        <w:tc>
          <w:tcPr>
            <w:tcW w:w="837"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10,000</w:t>
            </w:r>
          </w:p>
        </w:tc>
      </w:tr>
      <w:tr w:rsidR="00B05AA5" w:rsidRPr="00B05AA5" w:rsidTr="008935B8">
        <w:trPr>
          <w:trHeight w:val="20"/>
        </w:trPr>
        <w:tc>
          <w:tcPr>
            <w:tcW w:w="1072" w:type="pct"/>
            <w:shd w:val="clear" w:color="auto" w:fill="auto"/>
            <w:vAlign w:val="center"/>
            <w:hideMark/>
          </w:tcPr>
          <w:p w:rsidR="00B05AA5" w:rsidRPr="00B05AA5" w:rsidRDefault="00B05AA5" w:rsidP="008935B8">
            <w:pPr>
              <w:spacing w:after="0" w:line="360" w:lineRule="auto"/>
              <w:jc w:val="center"/>
              <w:rPr>
                <w:rFonts w:ascii="Times New Roman" w:eastAsia="Times New Roman" w:hAnsi="Times New Roman"/>
                <w:b/>
                <w:bCs/>
                <w:color w:val="000000"/>
                <w:sz w:val="24"/>
                <w:szCs w:val="24"/>
              </w:rPr>
            </w:pPr>
            <w:r w:rsidRPr="00B05AA5">
              <w:rPr>
                <w:rFonts w:ascii="Times New Roman" w:eastAsia="Times New Roman" w:hAnsi="Times New Roman"/>
                <w:b/>
                <w:bCs/>
                <w:color w:val="000000"/>
                <w:sz w:val="24"/>
                <w:szCs w:val="24"/>
              </w:rPr>
              <w:t>Year 5</w:t>
            </w:r>
          </w:p>
        </w:tc>
        <w:tc>
          <w:tcPr>
            <w:tcW w:w="838"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w:t>
            </w:r>
          </w:p>
        </w:tc>
        <w:tc>
          <w:tcPr>
            <w:tcW w:w="751"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1,000</w:t>
            </w:r>
          </w:p>
        </w:tc>
        <w:tc>
          <w:tcPr>
            <w:tcW w:w="751"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w:t>
            </w:r>
          </w:p>
        </w:tc>
        <w:tc>
          <w:tcPr>
            <w:tcW w:w="751"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w:t>
            </w:r>
          </w:p>
        </w:tc>
        <w:tc>
          <w:tcPr>
            <w:tcW w:w="837"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10,000</w:t>
            </w:r>
          </w:p>
        </w:tc>
      </w:tr>
      <w:tr w:rsidR="00B05AA5" w:rsidRPr="00B05AA5" w:rsidTr="008935B8">
        <w:trPr>
          <w:trHeight w:val="20"/>
        </w:trPr>
        <w:tc>
          <w:tcPr>
            <w:tcW w:w="1072" w:type="pct"/>
            <w:shd w:val="clear" w:color="auto" w:fill="auto"/>
            <w:vAlign w:val="center"/>
            <w:hideMark/>
          </w:tcPr>
          <w:p w:rsidR="00B05AA5" w:rsidRPr="00B05AA5" w:rsidRDefault="00B05AA5" w:rsidP="008935B8">
            <w:pPr>
              <w:spacing w:after="0" w:line="360" w:lineRule="auto"/>
              <w:jc w:val="center"/>
              <w:rPr>
                <w:rFonts w:ascii="Times New Roman" w:eastAsia="Times New Roman" w:hAnsi="Times New Roman"/>
                <w:b/>
                <w:bCs/>
                <w:color w:val="000000"/>
                <w:sz w:val="24"/>
                <w:szCs w:val="24"/>
              </w:rPr>
            </w:pPr>
            <w:r w:rsidRPr="00B05AA5">
              <w:rPr>
                <w:rFonts w:ascii="Times New Roman" w:eastAsia="Times New Roman" w:hAnsi="Times New Roman"/>
                <w:b/>
                <w:bCs/>
                <w:color w:val="000000"/>
                <w:sz w:val="24"/>
                <w:szCs w:val="24"/>
              </w:rPr>
              <w:t>Year 6</w:t>
            </w:r>
          </w:p>
        </w:tc>
        <w:tc>
          <w:tcPr>
            <w:tcW w:w="838"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w:t>
            </w:r>
          </w:p>
        </w:tc>
        <w:tc>
          <w:tcPr>
            <w:tcW w:w="751"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1,000</w:t>
            </w:r>
          </w:p>
        </w:tc>
        <w:tc>
          <w:tcPr>
            <w:tcW w:w="751"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w:t>
            </w:r>
          </w:p>
        </w:tc>
        <w:tc>
          <w:tcPr>
            <w:tcW w:w="751"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w:t>
            </w:r>
          </w:p>
        </w:tc>
        <w:tc>
          <w:tcPr>
            <w:tcW w:w="837" w:type="pct"/>
            <w:shd w:val="clear" w:color="auto" w:fill="auto"/>
            <w:vAlign w:val="center"/>
            <w:hideMark/>
          </w:tcPr>
          <w:p w:rsidR="00B05AA5" w:rsidRPr="00B05AA5" w:rsidRDefault="00B05AA5" w:rsidP="008935B8">
            <w:pPr>
              <w:spacing w:after="0" w:line="360" w:lineRule="auto"/>
              <w:jc w:val="right"/>
              <w:rPr>
                <w:rFonts w:ascii="Times New Roman" w:eastAsia="Times New Roman" w:hAnsi="Times New Roman"/>
                <w:color w:val="000000"/>
                <w:sz w:val="24"/>
                <w:szCs w:val="24"/>
              </w:rPr>
            </w:pPr>
            <w:r w:rsidRPr="00B05AA5">
              <w:rPr>
                <w:rFonts w:ascii="Times New Roman" w:eastAsia="Times New Roman" w:hAnsi="Times New Roman"/>
                <w:color w:val="000000"/>
                <w:sz w:val="24"/>
                <w:szCs w:val="24"/>
              </w:rPr>
              <w:t>10,000</w:t>
            </w:r>
          </w:p>
        </w:tc>
      </w:tr>
      <w:tr w:rsidR="00B05AA5" w:rsidRPr="00B05AA5" w:rsidTr="008935B8">
        <w:trPr>
          <w:trHeight w:val="20"/>
        </w:trPr>
        <w:tc>
          <w:tcPr>
            <w:tcW w:w="1072" w:type="pct"/>
            <w:shd w:val="clear" w:color="auto" w:fill="FBD4B4" w:themeFill="accent6" w:themeFillTint="66"/>
            <w:vAlign w:val="bottom"/>
            <w:hideMark/>
          </w:tcPr>
          <w:p w:rsidR="00B05AA5" w:rsidRPr="00B05AA5" w:rsidRDefault="00B05AA5" w:rsidP="008935B8">
            <w:pPr>
              <w:spacing w:after="0" w:line="360" w:lineRule="auto"/>
              <w:rPr>
                <w:rFonts w:ascii="Times New Roman" w:eastAsia="Times New Roman" w:hAnsi="Times New Roman"/>
                <w:b/>
                <w:bCs/>
                <w:color w:val="000000"/>
                <w:sz w:val="24"/>
                <w:szCs w:val="24"/>
              </w:rPr>
            </w:pPr>
            <w:r w:rsidRPr="00B05AA5">
              <w:rPr>
                <w:rFonts w:ascii="Times New Roman" w:eastAsia="Times New Roman" w:hAnsi="Times New Roman"/>
                <w:b/>
                <w:bCs/>
                <w:color w:val="000000"/>
                <w:sz w:val="24"/>
                <w:szCs w:val="24"/>
              </w:rPr>
              <w:t>IRR</w:t>
            </w:r>
          </w:p>
        </w:tc>
        <w:tc>
          <w:tcPr>
            <w:tcW w:w="838" w:type="pct"/>
            <w:shd w:val="clear" w:color="auto" w:fill="FBD4B4" w:themeFill="accent6" w:themeFillTint="66"/>
            <w:noWrap/>
            <w:vAlign w:val="center"/>
            <w:hideMark/>
          </w:tcPr>
          <w:p w:rsidR="00B05AA5" w:rsidRPr="00B05AA5" w:rsidRDefault="00B05AA5" w:rsidP="008935B8">
            <w:pPr>
              <w:spacing w:after="0" w:line="360" w:lineRule="auto"/>
              <w:jc w:val="right"/>
              <w:rPr>
                <w:rFonts w:ascii="Times New Roman" w:eastAsia="Times New Roman" w:hAnsi="Times New Roman"/>
                <w:b/>
                <w:color w:val="000000"/>
                <w:sz w:val="24"/>
                <w:szCs w:val="24"/>
              </w:rPr>
            </w:pPr>
            <w:r w:rsidRPr="00B05AA5">
              <w:rPr>
                <w:rFonts w:ascii="Times New Roman" w:eastAsia="Times New Roman" w:hAnsi="Times New Roman"/>
                <w:b/>
                <w:color w:val="000000"/>
                <w:sz w:val="24"/>
                <w:szCs w:val="24"/>
              </w:rPr>
              <w:t>10%</w:t>
            </w:r>
          </w:p>
        </w:tc>
        <w:tc>
          <w:tcPr>
            <w:tcW w:w="751" w:type="pct"/>
            <w:shd w:val="clear" w:color="auto" w:fill="FBD4B4" w:themeFill="accent6" w:themeFillTint="66"/>
            <w:noWrap/>
            <w:vAlign w:val="center"/>
            <w:hideMark/>
          </w:tcPr>
          <w:p w:rsidR="00B05AA5" w:rsidRPr="00B05AA5" w:rsidRDefault="00B05AA5" w:rsidP="008935B8">
            <w:pPr>
              <w:spacing w:after="0" w:line="360" w:lineRule="auto"/>
              <w:jc w:val="right"/>
              <w:rPr>
                <w:rFonts w:ascii="Times New Roman" w:eastAsia="Times New Roman" w:hAnsi="Times New Roman"/>
                <w:b/>
                <w:color w:val="000000"/>
                <w:sz w:val="24"/>
                <w:szCs w:val="24"/>
              </w:rPr>
            </w:pPr>
            <w:r w:rsidRPr="00B05AA5">
              <w:rPr>
                <w:rFonts w:ascii="Times New Roman" w:eastAsia="Times New Roman" w:hAnsi="Times New Roman"/>
                <w:b/>
                <w:color w:val="000000"/>
                <w:sz w:val="24"/>
                <w:szCs w:val="24"/>
              </w:rPr>
              <w:t>16%</w:t>
            </w:r>
          </w:p>
        </w:tc>
        <w:tc>
          <w:tcPr>
            <w:tcW w:w="751" w:type="pct"/>
            <w:shd w:val="clear" w:color="auto" w:fill="FBD4B4" w:themeFill="accent6" w:themeFillTint="66"/>
            <w:noWrap/>
            <w:vAlign w:val="center"/>
            <w:hideMark/>
          </w:tcPr>
          <w:p w:rsidR="00B05AA5" w:rsidRPr="00B05AA5" w:rsidRDefault="00B05AA5" w:rsidP="008935B8">
            <w:pPr>
              <w:spacing w:after="0" w:line="360" w:lineRule="auto"/>
              <w:jc w:val="right"/>
              <w:rPr>
                <w:rFonts w:ascii="Times New Roman" w:eastAsia="Times New Roman" w:hAnsi="Times New Roman"/>
                <w:b/>
                <w:color w:val="000000"/>
                <w:sz w:val="24"/>
                <w:szCs w:val="24"/>
              </w:rPr>
            </w:pPr>
            <w:r w:rsidRPr="00B05AA5">
              <w:rPr>
                <w:rFonts w:ascii="Times New Roman" w:eastAsia="Times New Roman" w:hAnsi="Times New Roman"/>
                <w:b/>
                <w:color w:val="000000"/>
                <w:sz w:val="24"/>
                <w:szCs w:val="24"/>
              </w:rPr>
              <w:t>7%</w:t>
            </w:r>
          </w:p>
        </w:tc>
        <w:tc>
          <w:tcPr>
            <w:tcW w:w="751" w:type="pct"/>
            <w:shd w:val="clear" w:color="auto" w:fill="FBD4B4" w:themeFill="accent6" w:themeFillTint="66"/>
            <w:noWrap/>
            <w:vAlign w:val="center"/>
            <w:hideMark/>
          </w:tcPr>
          <w:p w:rsidR="00B05AA5" w:rsidRPr="00B05AA5" w:rsidRDefault="00B05AA5" w:rsidP="008935B8">
            <w:pPr>
              <w:spacing w:after="0" w:line="360" w:lineRule="auto"/>
              <w:jc w:val="right"/>
              <w:rPr>
                <w:rFonts w:ascii="Times New Roman" w:eastAsia="Times New Roman" w:hAnsi="Times New Roman"/>
                <w:b/>
                <w:color w:val="000000"/>
                <w:sz w:val="24"/>
                <w:szCs w:val="24"/>
              </w:rPr>
            </w:pPr>
            <w:r w:rsidRPr="00B05AA5">
              <w:rPr>
                <w:rFonts w:ascii="Times New Roman" w:eastAsia="Times New Roman" w:hAnsi="Times New Roman"/>
                <w:b/>
                <w:color w:val="000000"/>
                <w:sz w:val="24"/>
                <w:szCs w:val="24"/>
              </w:rPr>
              <w:t>22%</w:t>
            </w:r>
          </w:p>
        </w:tc>
        <w:tc>
          <w:tcPr>
            <w:tcW w:w="837" w:type="pct"/>
            <w:shd w:val="clear" w:color="auto" w:fill="FBD4B4" w:themeFill="accent6" w:themeFillTint="66"/>
            <w:noWrap/>
            <w:vAlign w:val="center"/>
            <w:hideMark/>
          </w:tcPr>
          <w:p w:rsidR="00B05AA5" w:rsidRPr="00B05AA5" w:rsidRDefault="00B05AA5" w:rsidP="008935B8">
            <w:pPr>
              <w:spacing w:after="0" w:line="360" w:lineRule="auto"/>
              <w:jc w:val="right"/>
              <w:rPr>
                <w:rFonts w:ascii="Times New Roman" w:eastAsia="Times New Roman" w:hAnsi="Times New Roman"/>
                <w:b/>
                <w:color w:val="000000"/>
                <w:sz w:val="24"/>
                <w:szCs w:val="24"/>
              </w:rPr>
            </w:pPr>
            <w:r w:rsidRPr="00B05AA5">
              <w:rPr>
                <w:rFonts w:ascii="Times New Roman" w:eastAsia="Times New Roman" w:hAnsi="Times New Roman"/>
                <w:b/>
                <w:color w:val="000000"/>
                <w:sz w:val="24"/>
                <w:szCs w:val="24"/>
              </w:rPr>
              <w:t>5%</w:t>
            </w:r>
          </w:p>
        </w:tc>
      </w:tr>
    </w:tbl>
    <w:p w:rsidR="00605D23" w:rsidRDefault="00605D23" w:rsidP="00605D23">
      <w:pPr>
        <w:pStyle w:val="ListParagraph"/>
        <w:numPr>
          <w:ilvl w:val="0"/>
          <w:numId w:val="1"/>
        </w:numPr>
        <w:spacing w:before="240"/>
        <w:ind w:left="360"/>
        <w:rPr>
          <w:rFonts w:ascii="Times New Roman" w:hAnsi="Times New Roman"/>
          <w:b/>
          <w:sz w:val="24"/>
          <w:szCs w:val="24"/>
        </w:rPr>
      </w:pPr>
      <w:r w:rsidRPr="00605D23">
        <w:rPr>
          <w:rFonts w:ascii="Times New Roman" w:hAnsi="Times New Roman"/>
          <w:b/>
          <w:sz w:val="24"/>
          <w:szCs w:val="24"/>
        </w:rPr>
        <w:t xml:space="preserve">Investment Opportunity Schedule </w:t>
      </w:r>
    </w:p>
    <w:p w:rsidR="001E296E" w:rsidRDefault="00FC24A8" w:rsidP="001C33E5">
      <w:pPr>
        <w:spacing w:line="480" w:lineRule="auto"/>
        <w:ind w:firstLine="360"/>
        <w:jc w:val="both"/>
        <w:rPr>
          <w:rFonts w:ascii="Times New Roman" w:hAnsi="Times New Roman"/>
          <w:sz w:val="24"/>
          <w:szCs w:val="24"/>
        </w:rPr>
      </w:pPr>
      <w:r w:rsidRPr="00FC24A8">
        <w:rPr>
          <w:rFonts w:ascii="Times New Roman" w:hAnsi="Times New Roman"/>
          <w:sz w:val="24"/>
          <w:szCs w:val="24"/>
        </w:rPr>
        <w:t>An Investment Opportunity Schedule in simple terms represents the list of projects available to a business arranged in descending order of internal rate of return. The schedule indicates that Project D has the highest IRR whereas project E represents the lowest IRR. Further, project D is accompanied by the lowest initial investment requirements whereas project E has the higher capital required. (Fabozzi, 2002)</w:t>
      </w:r>
    </w:p>
    <w:p w:rsidR="00B05AA5" w:rsidRDefault="00605D23" w:rsidP="001C33E5">
      <w:pPr>
        <w:spacing w:line="480" w:lineRule="auto"/>
        <w:ind w:firstLine="360"/>
        <w:jc w:val="both"/>
        <w:rPr>
          <w:rFonts w:ascii="Times New Roman" w:hAnsi="Times New Roman"/>
          <w:sz w:val="24"/>
          <w:szCs w:val="24"/>
        </w:rPr>
      </w:pPr>
      <w:r>
        <w:rPr>
          <w:rFonts w:ascii="Times New Roman" w:hAnsi="Times New Roman"/>
          <w:sz w:val="24"/>
          <w:szCs w:val="24"/>
        </w:rPr>
        <w:t xml:space="preserve">Graphical representation of </w:t>
      </w:r>
      <w:r w:rsidRPr="00605D23">
        <w:rPr>
          <w:rFonts w:ascii="Times New Roman" w:hAnsi="Times New Roman"/>
          <w:sz w:val="24"/>
          <w:szCs w:val="24"/>
        </w:rPr>
        <w:t>Investment Opportunity Schedule</w:t>
      </w:r>
      <w:r>
        <w:rPr>
          <w:rFonts w:ascii="Times New Roman" w:hAnsi="Times New Roman"/>
          <w:sz w:val="24"/>
          <w:szCs w:val="24"/>
        </w:rPr>
        <w:t xml:space="preserve"> for the business is presented below; </w:t>
      </w:r>
    </w:p>
    <w:p w:rsidR="00F8094E" w:rsidRDefault="00F8094E" w:rsidP="00F8094E">
      <w:pPr>
        <w:spacing w:line="480" w:lineRule="auto"/>
        <w:jc w:val="center"/>
        <w:rPr>
          <w:rFonts w:ascii="Times New Roman" w:hAnsi="Times New Roman"/>
          <w:sz w:val="24"/>
          <w:szCs w:val="24"/>
        </w:rPr>
      </w:pPr>
      <w:r w:rsidRPr="00F8094E">
        <w:rPr>
          <w:rFonts w:ascii="Times New Roman" w:hAnsi="Times New Roman"/>
          <w:sz w:val="24"/>
          <w:szCs w:val="24"/>
        </w:rPr>
        <w:lastRenderedPageBreak/>
        <w:drawing>
          <wp:inline distT="0" distB="0" distL="0" distR="0">
            <wp:extent cx="3907849" cy="2817628"/>
            <wp:effectExtent l="19050" t="0" r="16451" b="1772"/>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E97688" w:rsidRDefault="00E97688" w:rsidP="00E97688">
      <w:pPr>
        <w:pStyle w:val="ListParagraph"/>
        <w:numPr>
          <w:ilvl w:val="0"/>
          <w:numId w:val="1"/>
        </w:numPr>
        <w:spacing w:before="240"/>
        <w:ind w:left="360"/>
        <w:rPr>
          <w:rFonts w:ascii="Times New Roman" w:hAnsi="Times New Roman"/>
          <w:b/>
          <w:sz w:val="24"/>
          <w:szCs w:val="24"/>
        </w:rPr>
      </w:pPr>
      <w:r w:rsidRPr="00E97688">
        <w:rPr>
          <w:rFonts w:ascii="Times New Roman" w:hAnsi="Times New Roman"/>
          <w:b/>
          <w:sz w:val="24"/>
          <w:szCs w:val="24"/>
        </w:rPr>
        <w:t xml:space="preserve"> </w:t>
      </w:r>
      <w:r w:rsidRPr="00605D23">
        <w:rPr>
          <w:rFonts w:ascii="Times New Roman" w:hAnsi="Times New Roman"/>
          <w:b/>
          <w:sz w:val="24"/>
          <w:szCs w:val="24"/>
        </w:rPr>
        <w:t xml:space="preserve">Investment </w:t>
      </w:r>
      <w:r>
        <w:rPr>
          <w:rFonts w:ascii="Times New Roman" w:hAnsi="Times New Roman"/>
          <w:b/>
          <w:sz w:val="24"/>
          <w:szCs w:val="24"/>
        </w:rPr>
        <w:t xml:space="preserve">Selection </w:t>
      </w:r>
    </w:p>
    <w:p w:rsidR="00E97688" w:rsidRDefault="00E97688" w:rsidP="00E97688">
      <w:pPr>
        <w:spacing w:before="240" w:line="480" w:lineRule="auto"/>
        <w:ind w:firstLine="360"/>
        <w:jc w:val="both"/>
        <w:rPr>
          <w:rFonts w:ascii="Times New Roman" w:hAnsi="Times New Roman"/>
          <w:sz w:val="24"/>
          <w:szCs w:val="24"/>
        </w:rPr>
      </w:pPr>
      <w:r>
        <w:rPr>
          <w:rFonts w:ascii="Times New Roman" w:hAnsi="Times New Roman"/>
          <w:sz w:val="24"/>
          <w:szCs w:val="24"/>
        </w:rPr>
        <w:t xml:space="preserve">The company’s cost of capital and hence hurdle rate for IRR decision making was assumed to be 10% whereas the company also has limited capital availability of USD 170,000. Under said conditions following projects meet the criteria for being accepted; </w:t>
      </w:r>
    </w:p>
    <w:tbl>
      <w:tblPr>
        <w:tblW w:w="5000" w:type="pct"/>
        <w:jc w:val="center"/>
        <w:tblLook w:val="04A0"/>
      </w:tblPr>
      <w:tblGrid>
        <w:gridCol w:w="2027"/>
        <w:gridCol w:w="1715"/>
        <w:gridCol w:w="2674"/>
        <w:gridCol w:w="3160"/>
      </w:tblGrid>
      <w:tr w:rsidR="00E97688" w:rsidRPr="00E97688" w:rsidTr="00E97688">
        <w:trPr>
          <w:trHeight w:val="255"/>
          <w:jc w:val="center"/>
        </w:trPr>
        <w:tc>
          <w:tcPr>
            <w:tcW w:w="1058" w:type="pct"/>
            <w:tcBorders>
              <w:top w:val="single" w:sz="4" w:space="0" w:color="auto"/>
              <w:left w:val="single" w:sz="4" w:space="0" w:color="auto"/>
              <w:bottom w:val="nil"/>
              <w:right w:val="nil"/>
            </w:tcBorders>
            <w:shd w:val="clear" w:color="auto" w:fill="548DD4" w:themeFill="text2" w:themeFillTint="99"/>
            <w:noWrap/>
            <w:vAlign w:val="bottom"/>
            <w:hideMark/>
          </w:tcPr>
          <w:p w:rsidR="00E97688" w:rsidRPr="00E97688" w:rsidRDefault="00E97688" w:rsidP="00452F70">
            <w:pPr>
              <w:spacing w:after="0" w:line="360" w:lineRule="auto"/>
              <w:rPr>
                <w:rFonts w:ascii="Times New Roman" w:eastAsia="Times New Roman" w:hAnsi="Times New Roman"/>
                <w:color w:val="FFFFFF" w:themeColor="background1"/>
                <w:sz w:val="24"/>
                <w:szCs w:val="24"/>
              </w:rPr>
            </w:pPr>
            <w:r w:rsidRPr="00E97688">
              <w:rPr>
                <w:rFonts w:ascii="Times New Roman" w:eastAsia="Times New Roman" w:hAnsi="Times New Roman"/>
                <w:color w:val="FFFFFF" w:themeColor="background1"/>
                <w:sz w:val="24"/>
                <w:szCs w:val="24"/>
              </w:rPr>
              <w:t> </w:t>
            </w:r>
          </w:p>
        </w:tc>
        <w:tc>
          <w:tcPr>
            <w:tcW w:w="895" w:type="pct"/>
            <w:tcBorders>
              <w:top w:val="single" w:sz="4" w:space="0" w:color="auto"/>
              <w:left w:val="nil"/>
              <w:bottom w:val="nil"/>
              <w:right w:val="nil"/>
            </w:tcBorders>
            <w:shd w:val="clear" w:color="auto" w:fill="548DD4" w:themeFill="text2" w:themeFillTint="99"/>
            <w:vAlign w:val="center"/>
            <w:hideMark/>
          </w:tcPr>
          <w:p w:rsidR="00E97688" w:rsidRPr="00E97688" w:rsidRDefault="00E97688" w:rsidP="00452F70">
            <w:pPr>
              <w:spacing w:after="0" w:line="360" w:lineRule="auto"/>
              <w:jc w:val="center"/>
              <w:rPr>
                <w:rFonts w:ascii="Times New Roman" w:eastAsia="Times New Roman" w:hAnsi="Times New Roman"/>
                <w:b/>
                <w:bCs/>
                <w:color w:val="FFFFFF" w:themeColor="background1"/>
                <w:sz w:val="24"/>
                <w:szCs w:val="24"/>
              </w:rPr>
            </w:pPr>
            <w:r w:rsidRPr="00E97688">
              <w:rPr>
                <w:rFonts w:ascii="Times New Roman" w:eastAsia="Times New Roman" w:hAnsi="Times New Roman"/>
                <w:b/>
                <w:bCs/>
                <w:color w:val="FFFFFF" w:themeColor="background1"/>
                <w:sz w:val="24"/>
                <w:szCs w:val="24"/>
              </w:rPr>
              <w:t>IRR</w:t>
            </w:r>
          </w:p>
        </w:tc>
        <w:tc>
          <w:tcPr>
            <w:tcW w:w="1396" w:type="pct"/>
            <w:tcBorders>
              <w:top w:val="single" w:sz="4" w:space="0" w:color="auto"/>
              <w:left w:val="nil"/>
              <w:bottom w:val="nil"/>
              <w:right w:val="nil"/>
            </w:tcBorders>
            <w:shd w:val="clear" w:color="auto" w:fill="548DD4" w:themeFill="text2" w:themeFillTint="99"/>
            <w:vAlign w:val="center"/>
            <w:hideMark/>
          </w:tcPr>
          <w:p w:rsidR="00E97688" w:rsidRPr="00E97688" w:rsidRDefault="00E97688" w:rsidP="00452F70">
            <w:pPr>
              <w:spacing w:after="0" w:line="360" w:lineRule="auto"/>
              <w:jc w:val="center"/>
              <w:rPr>
                <w:rFonts w:ascii="Times New Roman" w:eastAsia="Times New Roman" w:hAnsi="Times New Roman"/>
                <w:b/>
                <w:bCs/>
                <w:color w:val="FFFFFF" w:themeColor="background1"/>
                <w:sz w:val="24"/>
                <w:szCs w:val="24"/>
              </w:rPr>
            </w:pPr>
            <w:r w:rsidRPr="00E97688">
              <w:rPr>
                <w:rFonts w:ascii="Times New Roman" w:eastAsia="Times New Roman" w:hAnsi="Times New Roman"/>
                <w:b/>
                <w:bCs/>
                <w:color w:val="FFFFFF" w:themeColor="background1"/>
                <w:sz w:val="24"/>
                <w:szCs w:val="24"/>
              </w:rPr>
              <w:t>Hurdle Rate</w:t>
            </w:r>
          </w:p>
        </w:tc>
        <w:tc>
          <w:tcPr>
            <w:tcW w:w="1650" w:type="pct"/>
            <w:tcBorders>
              <w:top w:val="single" w:sz="4" w:space="0" w:color="auto"/>
              <w:left w:val="nil"/>
              <w:bottom w:val="nil"/>
              <w:right w:val="single" w:sz="4" w:space="0" w:color="auto"/>
            </w:tcBorders>
            <w:shd w:val="clear" w:color="auto" w:fill="548DD4" w:themeFill="text2" w:themeFillTint="99"/>
            <w:vAlign w:val="center"/>
            <w:hideMark/>
          </w:tcPr>
          <w:p w:rsidR="00E97688" w:rsidRPr="00E97688" w:rsidRDefault="00E97688" w:rsidP="00452F70">
            <w:pPr>
              <w:spacing w:after="0" w:line="360" w:lineRule="auto"/>
              <w:jc w:val="center"/>
              <w:rPr>
                <w:rFonts w:ascii="Times New Roman" w:eastAsia="Times New Roman" w:hAnsi="Times New Roman"/>
                <w:b/>
                <w:bCs/>
                <w:color w:val="FFFFFF" w:themeColor="background1"/>
                <w:sz w:val="24"/>
                <w:szCs w:val="24"/>
              </w:rPr>
            </w:pPr>
            <w:r w:rsidRPr="00E97688">
              <w:rPr>
                <w:rFonts w:ascii="Times New Roman" w:eastAsia="Times New Roman" w:hAnsi="Times New Roman"/>
                <w:b/>
                <w:bCs/>
                <w:color w:val="FFFFFF" w:themeColor="background1"/>
                <w:sz w:val="24"/>
                <w:szCs w:val="24"/>
              </w:rPr>
              <w:t xml:space="preserve">Accept / Reject </w:t>
            </w:r>
          </w:p>
        </w:tc>
      </w:tr>
      <w:tr w:rsidR="00E97688" w:rsidRPr="00E97688" w:rsidTr="00E97688">
        <w:trPr>
          <w:trHeight w:val="255"/>
          <w:jc w:val="center"/>
        </w:trPr>
        <w:tc>
          <w:tcPr>
            <w:tcW w:w="1058" w:type="pct"/>
            <w:tcBorders>
              <w:top w:val="nil"/>
              <w:left w:val="single" w:sz="4" w:space="0" w:color="auto"/>
              <w:bottom w:val="nil"/>
              <w:right w:val="nil"/>
            </w:tcBorders>
            <w:shd w:val="clear" w:color="auto" w:fill="auto"/>
            <w:noWrap/>
            <w:vAlign w:val="bottom"/>
            <w:hideMark/>
          </w:tcPr>
          <w:p w:rsidR="00E97688" w:rsidRPr="00E97688" w:rsidRDefault="00E97688" w:rsidP="00452F70">
            <w:pPr>
              <w:spacing w:after="0" w:line="360" w:lineRule="auto"/>
              <w:rPr>
                <w:rFonts w:ascii="Times New Roman" w:eastAsia="Times New Roman" w:hAnsi="Times New Roman"/>
                <w:color w:val="000000"/>
                <w:sz w:val="24"/>
                <w:szCs w:val="24"/>
              </w:rPr>
            </w:pPr>
            <w:r w:rsidRPr="00E97688">
              <w:rPr>
                <w:rFonts w:ascii="Times New Roman" w:eastAsia="Times New Roman" w:hAnsi="Times New Roman"/>
                <w:color w:val="000000"/>
                <w:sz w:val="24"/>
                <w:szCs w:val="24"/>
              </w:rPr>
              <w:t>Project A</w:t>
            </w:r>
          </w:p>
        </w:tc>
        <w:tc>
          <w:tcPr>
            <w:tcW w:w="895" w:type="pct"/>
            <w:tcBorders>
              <w:top w:val="nil"/>
              <w:left w:val="nil"/>
              <w:bottom w:val="nil"/>
              <w:right w:val="nil"/>
            </w:tcBorders>
            <w:shd w:val="clear" w:color="auto" w:fill="auto"/>
            <w:noWrap/>
            <w:vAlign w:val="bottom"/>
            <w:hideMark/>
          </w:tcPr>
          <w:p w:rsidR="00E97688" w:rsidRPr="00E97688" w:rsidRDefault="00E97688" w:rsidP="007617F0">
            <w:pPr>
              <w:spacing w:after="0" w:line="360" w:lineRule="auto"/>
              <w:jc w:val="center"/>
              <w:rPr>
                <w:rFonts w:ascii="Times New Roman" w:eastAsia="Times New Roman" w:hAnsi="Times New Roman"/>
                <w:color w:val="000000"/>
                <w:sz w:val="24"/>
                <w:szCs w:val="24"/>
              </w:rPr>
            </w:pPr>
            <w:r w:rsidRPr="00E97688">
              <w:rPr>
                <w:rFonts w:ascii="Times New Roman" w:eastAsia="Times New Roman" w:hAnsi="Times New Roman"/>
                <w:color w:val="000000"/>
                <w:sz w:val="24"/>
                <w:szCs w:val="24"/>
              </w:rPr>
              <w:t>10.22%</w:t>
            </w:r>
          </w:p>
        </w:tc>
        <w:tc>
          <w:tcPr>
            <w:tcW w:w="1396" w:type="pct"/>
            <w:tcBorders>
              <w:top w:val="nil"/>
              <w:left w:val="nil"/>
              <w:bottom w:val="nil"/>
              <w:right w:val="nil"/>
            </w:tcBorders>
            <w:shd w:val="clear" w:color="auto" w:fill="auto"/>
            <w:noWrap/>
            <w:vAlign w:val="bottom"/>
            <w:hideMark/>
          </w:tcPr>
          <w:p w:rsidR="00E97688" w:rsidRPr="00E97688" w:rsidRDefault="00E97688" w:rsidP="007617F0">
            <w:pPr>
              <w:spacing w:after="0" w:line="360" w:lineRule="auto"/>
              <w:jc w:val="center"/>
              <w:rPr>
                <w:rFonts w:ascii="Times New Roman" w:eastAsia="Times New Roman" w:hAnsi="Times New Roman"/>
                <w:color w:val="000000"/>
                <w:sz w:val="24"/>
                <w:szCs w:val="24"/>
              </w:rPr>
            </w:pPr>
            <w:r w:rsidRPr="00E97688">
              <w:rPr>
                <w:rFonts w:ascii="Times New Roman" w:eastAsia="Times New Roman" w:hAnsi="Times New Roman"/>
                <w:color w:val="000000"/>
                <w:sz w:val="24"/>
                <w:szCs w:val="24"/>
              </w:rPr>
              <w:t>10%</w:t>
            </w:r>
          </w:p>
        </w:tc>
        <w:tc>
          <w:tcPr>
            <w:tcW w:w="1650" w:type="pct"/>
            <w:tcBorders>
              <w:top w:val="nil"/>
              <w:left w:val="nil"/>
              <w:bottom w:val="nil"/>
              <w:right w:val="single" w:sz="4" w:space="0" w:color="auto"/>
            </w:tcBorders>
            <w:shd w:val="clear" w:color="auto" w:fill="auto"/>
            <w:noWrap/>
            <w:vAlign w:val="bottom"/>
            <w:hideMark/>
          </w:tcPr>
          <w:p w:rsidR="00E97688" w:rsidRPr="00E97688" w:rsidRDefault="00E97688" w:rsidP="007617F0">
            <w:pPr>
              <w:spacing w:after="0" w:line="360" w:lineRule="auto"/>
              <w:jc w:val="center"/>
              <w:rPr>
                <w:rFonts w:ascii="Times New Roman" w:eastAsia="Times New Roman" w:hAnsi="Times New Roman"/>
                <w:color w:val="000000"/>
                <w:sz w:val="24"/>
                <w:szCs w:val="24"/>
              </w:rPr>
            </w:pPr>
            <w:r w:rsidRPr="00E97688">
              <w:rPr>
                <w:rFonts w:ascii="Times New Roman" w:eastAsia="Times New Roman" w:hAnsi="Times New Roman"/>
                <w:color w:val="000000"/>
                <w:sz w:val="24"/>
                <w:szCs w:val="24"/>
              </w:rPr>
              <w:t>Accept</w:t>
            </w:r>
          </w:p>
        </w:tc>
      </w:tr>
      <w:tr w:rsidR="00E97688" w:rsidRPr="00E97688" w:rsidTr="00E97688">
        <w:trPr>
          <w:trHeight w:val="255"/>
          <w:jc w:val="center"/>
        </w:trPr>
        <w:tc>
          <w:tcPr>
            <w:tcW w:w="1058" w:type="pct"/>
            <w:tcBorders>
              <w:top w:val="nil"/>
              <w:left w:val="single" w:sz="4" w:space="0" w:color="auto"/>
              <w:bottom w:val="nil"/>
              <w:right w:val="nil"/>
            </w:tcBorders>
            <w:shd w:val="clear" w:color="auto" w:fill="auto"/>
            <w:noWrap/>
            <w:vAlign w:val="bottom"/>
            <w:hideMark/>
          </w:tcPr>
          <w:p w:rsidR="00E97688" w:rsidRPr="00E97688" w:rsidRDefault="00E97688" w:rsidP="00452F70">
            <w:pPr>
              <w:spacing w:after="0" w:line="360" w:lineRule="auto"/>
              <w:rPr>
                <w:rFonts w:ascii="Times New Roman" w:eastAsia="Times New Roman" w:hAnsi="Times New Roman"/>
                <w:color w:val="000000"/>
                <w:sz w:val="24"/>
                <w:szCs w:val="24"/>
              </w:rPr>
            </w:pPr>
            <w:r w:rsidRPr="00E97688">
              <w:rPr>
                <w:rFonts w:ascii="Times New Roman" w:eastAsia="Times New Roman" w:hAnsi="Times New Roman"/>
                <w:color w:val="000000"/>
                <w:sz w:val="24"/>
                <w:szCs w:val="24"/>
              </w:rPr>
              <w:t>Project B</w:t>
            </w:r>
          </w:p>
        </w:tc>
        <w:tc>
          <w:tcPr>
            <w:tcW w:w="895" w:type="pct"/>
            <w:tcBorders>
              <w:top w:val="nil"/>
              <w:left w:val="nil"/>
              <w:bottom w:val="nil"/>
              <w:right w:val="nil"/>
            </w:tcBorders>
            <w:shd w:val="clear" w:color="auto" w:fill="auto"/>
            <w:noWrap/>
            <w:vAlign w:val="bottom"/>
            <w:hideMark/>
          </w:tcPr>
          <w:p w:rsidR="00E97688" w:rsidRPr="00E97688" w:rsidRDefault="00E97688" w:rsidP="007617F0">
            <w:pPr>
              <w:spacing w:after="0" w:line="360" w:lineRule="auto"/>
              <w:jc w:val="center"/>
              <w:rPr>
                <w:rFonts w:ascii="Times New Roman" w:eastAsia="Times New Roman" w:hAnsi="Times New Roman"/>
                <w:color w:val="000000"/>
                <w:sz w:val="24"/>
                <w:szCs w:val="24"/>
              </w:rPr>
            </w:pPr>
            <w:r w:rsidRPr="00E97688">
              <w:rPr>
                <w:rFonts w:ascii="Times New Roman" w:eastAsia="Times New Roman" w:hAnsi="Times New Roman"/>
                <w:color w:val="000000"/>
                <w:sz w:val="24"/>
                <w:szCs w:val="24"/>
              </w:rPr>
              <w:t>16.01%</w:t>
            </w:r>
          </w:p>
        </w:tc>
        <w:tc>
          <w:tcPr>
            <w:tcW w:w="1396" w:type="pct"/>
            <w:tcBorders>
              <w:top w:val="nil"/>
              <w:left w:val="nil"/>
              <w:bottom w:val="nil"/>
              <w:right w:val="nil"/>
            </w:tcBorders>
            <w:shd w:val="clear" w:color="auto" w:fill="auto"/>
            <w:noWrap/>
            <w:vAlign w:val="bottom"/>
            <w:hideMark/>
          </w:tcPr>
          <w:p w:rsidR="00E97688" w:rsidRPr="00E97688" w:rsidRDefault="00E97688" w:rsidP="007617F0">
            <w:pPr>
              <w:spacing w:after="0" w:line="360" w:lineRule="auto"/>
              <w:jc w:val="center"/>
              <w:rPr>
                <w:rFonts w:ascii="Times New Roman" w:eastAsia="Times New Roman" w:hAnsi="Times New Roman"/>
                <w:color w:val="000000"/>
                <w:sz w:val="24"/>
                <w:szCs w:val="24"/>
              </w:rPr>
            </w:pPr>
            <w:r w:rsidRPr="00E97688">
              <w:rPr>
                <w:rFonts w:ascii="Times New Roman" w:eastAsia="Times New Roman" w:hAnsi="Times New Roman"/>
                <w:color w:val="000000"/>
                <w:sz w:val="24"/>
                <w:szCs w:val="24"/>
              </w:rPr>
              <w:t>10%</w:t>
            </w:r>
          </w:p>
        </w:tc>
        <w:tc>
          <w:tcPr>
            <w:tcW w:w="1650" w:type="pct"/>
            <w:tcBorders>
              <w:top w:val="nil"/>
              <w:left w:val="nil"/>
              <w:bottom w:val="nil"/>
              <w:right w:val="single" w:sz="4" w:space="0" w:color="auto"/>
            </w:tcBorders>
            <w:shd w:val="clear" w:color="auto" w:fill="auto"/>
            <w:noWrap/>
            <w:vAlign w:val="bottom"/>
            <w:hideMark/>
          </w:tcPr>
          <w:p w:rsidR="00E97688" w:rsidRPr="00E97688" w:rsidRDefault="00E97688" w:rsidP="007617F0">
            <w:pPr>
              <w:spacing w:after="0" w:line="360" w:lineRule="auto"/>
              <w:jc w:val="center"/>
              <w:rPr>
                <w:rFonts w:ascii="Times New Roman" w:eastAsia="Times New Roman" w:hAnsi="Times New Roman"/>
                <w:color w:val="000000"/>
                <w:sz w:val="24"/>
                <w:szCs w:val="24"/>
              </w:rPr>
            </w:pPr>
            <w:r w:rsidRPr="00E97688">
              <w:rPr>
                <w:rFonts w:ascii="Times New Roman" w:eastAsia="Times New Roman" w:hAnsi="Times New Roman"/>
                <w:color w:val="000000"/>
                <w:sz w:val="24"/>
                <w:szCs w:val="24"/>
              </w:rPr>
              <w:t>Accept</w:t>
            </w:r>
          </w:p>
        </w:tc>
      </w:tr>
      <w:tr w:rsidR="00E97688" w:rsidRPr="00E97688" w:rsidTr="00E97688">
        <w:trPr>
          <w:trHeight w:val="255"/>
          <w:jc w:val="center"/>
        </w:trPr>
        <w:tc>
          <w:tcPr>
            <w:tcW w:w="1058" w:type="pct"/>
            <w:tcBorders>
              <w:top w:val="nil"/>
              <w:left w:val="single" w:sz="4" w:space="0" w:color="auto"/>
              <w:bottom w:val="nil"/>
              <w:right w:val="nil"/>
            </w:tcBorders>
            <w:shd w:val="clear" w:color="auto" w:fill="auto"/>
            <w:noWrap/>
            <w:vAlign w:val="bottom"/>
            <w:hideMark/>
          </w:tcPr>
          <w:p w:rsidR="00E97688" w:rsidRPr="00E97688" w:rsidRDefault="00E97688" w:rsidP="00452F70">
            <w:pPr>
              <w:spacing w:after="0" w:line="360" w:lineRule="auto"/>
              <w:rPr>
                <w:rFonts w:ascii="Times New Roman" w:eastAsia="Times New Roman" w:hAnsi="Times New Roman"/>
                <w:color w:val="000000"/>
                <w:sz w:val="24"/>
                <w:szCs w:val="24"/>
              </w:rPr>
            </w:pPr>
            <w:r w:rsidRPr="00E97688">
              <w:rPr>
                <w:rFonts w:ascii="Times New Roman" w:eastAsia="Times New Roman" w:hAnsi="Times New Roman"/>
                <w:color w:val="000000"/>
                <w:sz w:val="24"/>
                <w:szCs w:val="24"/>
              </w:rPr>
              <w:t>Project C</w:t>
            </w:r>
          </w:p>
        </w:tc>
        <w:tc>
          <w:tcPr>
            <w:tcW w:w="895" w:type="pct"/>
            <w:tcBorders>
              <w:top w:val="nil"/>
              <w:left w:val="nil"/>
              <w:bottom w:val="nil"/>
              <w:right w:val="nil"/>
            </w:tcBorders>
            <w:shd w:val="clear" w:color="auto" w:fill="auto"/>
            <w:noWrap/>
            <w:vAlign w:val="bottom"/>
            <w:hideMark/>
          </w:tcPr>
          <w:p w:rsidR="00E97688" w:rsidRPr="00E97688" w:rsidRDefault="00E97688" w:rsidP="007617F0">
            <w:pPr>
              <w:spacing w:after="0" w:line="360" w:lineRule="auto"/>
              <w:jc w:val="center"/>
              <w:rPr>
                <w:rFonts w:ascii="Times New Roman" w:eastAsia="Times New Roman" w:hAnsi="Times New Roman"/>
                <w:color w:val="000000"/>
                <w:sz w:val="24"/>
                <w:szCs w:val="24"/>
              </w:rPr>
            </w:pPr>
            <w:r w:rsidRPr="00E97688">
              <w:rPr>
                <w:rFonts w:ascii="Times New Roman" w:eastAsia="Times New Roman" w:hAnsi="Times New Roman"/>
                <w:color w:val="000000"/>
                <w:sz w:val="24"/>
                <w:szCs w:val="24"/>
              </w:rPr>
              <w:t>6.54%</w:t>
            </w:r>
          </w:p>
        </w:tc>
        <w:tc>
          <w:tcPr>
            <w:tcW w:w="1396" w:type="pct"/>
            <w:tcBorders>
              <w:top w:val="nil"/>
              <w:left w:val="nil"/>
              <w:bottom w:val="nil"/>
              <w:right w:val="nil"/>
            </w:tcBorders>
            <w:shd w:val="clear" w:color="auto" w:fill="auto"/>
            <w:noWrap/>
            <w:vAlign w:val="bottom"/>
            <w:hideMark/>
          </w:tcPr>
          <w:p w:rsidR="00E97688" w:rsidRPr="00E97688" w:rsidRDefault="00E97688" w:rsidP="007617F0">
            <w:pPr>
              <w:spacing w:after="0" w:line="360" w:lineRule="auto"/>
              <w:jc w:val="center"/>
              <w:rPr>
                <w:rFonts w:ascii="Times New Roman" w:eastAsia="Times New Roman" w:hAnsi="Times New Roman"/>
                <w:color w:val="000000"/>
                <w:sz w:val="24"/>
                <w:szCs w:val="24"/>
              </w:rPr>
            </w:pPr>
            <w:r w:rsidRPr="00E97688">
              <w:rPr>
                <w:rFonts w:ascii="Times New Roman" w:eastAsia="Times New Roman" w:hAnsi="Times New Roman"/>
                <w:color w:val="000000"/>
                <w:sz w:val="24"/>
                <w:szCs w:val="24"/>
              </w:rPr>
              <w:t>10%</w:t>
            </w:r>
          </w:p>
        </w:tc>
        <w:tc>
          <w:tcPr>
            <w:tcW w:w="1650" w:type="pct"/>
            <w:tcBorders>
              <w:top w:val="nil"/>
              <w:left w:val="nil"/>
              <w:bottom w:val="nil"/>
              <w:right w:val="single" w:sz="4" w:space="0" w:color="auto"/>
            </w:tcBorders>
            <w:shd w:val="clear" w:color="auto" w:fill="auto"/>
            <w:noWrap/>
            <w:vAlign w:val="bottom"/>
            <w:hideMark/>
          </w:tcPr>
          <w:p w:rsidR="00E97688" w:rsidRPr="00E97688" w:rsidRDefault="00E97688" w:rsidP="007617F0">
            <w:pPr>
              <w:spacing w:after="0" w:line="360" w:lineRule="auto"/>
              <w:jc w:val="center"/>
              <w:rPr>
                <w:rFonts w:ascii="Times New Roman" w:eastAsia="Times New Roman" w:hAnsi="Times New Roman"/>
                <w:color w:val="000000"/>
                <w:sz w:val="24"/>
                <w:szCs w:val="24"/>
              </w:rPr>
            </w:pPr>
            <w:r w:rsidRPr="00E97688">
              <w:rPr>
                <w:rFonts w:ascii="Times New Roman" w:eastAsia="Times New Roman" w:hAnsi="Times New Roman"/>
                <w:color w:val="000000"/>
                <w:sz w:val="24"/>
                <w:szCs w:val="24"/>
              </w:rPr>
              <w:t>Reject</w:t>
            </w:r>
          </w:p>
        </w:tc>
      </w:tr>
      <w:tr w:rsidR="00E97688" w:rsidRPr="00E97688" w:rsidTr="00E97688">
        <w:trPr>
          <w:trHeight w:val="255"/>
          <w:jc w:val="center"/>
        </w:trPr>
        <w:tc>
          <w:tcPr>
            <w:tcW w:w="1058" w:type="pct"/>
            <w:tcBorders>
              <w:top w:val="nil"/>
              <w:left w:val="single" w:sz="4" w:space="0" w:color="auto"/>
              <w:bottom w:val="nil"/>
              <w:right w:val="nil"/>
            </w:tcBorders>
            <w:shd w:val="clear" w:color="auto" w:fill="auto"/>
            <w:noWrap/>
            <w:vAlign w:val="bottom"/>
            <w:hideMark/>
          </w:tcPr>
          <w:p w:rsidR="00E97688" w:rsidRPr="00E97688" w:rsidRDefault="00E97688" w:rsidP="00452F70">
            <w:pPr>
              <w:spacing w:after="0" w:line="360" w:lineRule="auto"/>
              <w:rPr>
                <w:rFonts w:ascii="Times New Roman" w:eastAsia="Times New Roman" w:hAnsi="Times New Roman"/>
                <w:color w:val="000000"/>
                <w:sz w:val="24"/>
                <w:szCs w:val="24"/>
              </w:rPr>
            </w:pPr>
            <w:r w:rsidRPr="00E97688">
              <w:rPr>
                <w:rFonts w:ascii="Times New Roman" w:eastAsia="Times New Roman" w:hAnsi="Times New Roman"/>
                <w:color w:val="000000"/>
                <w:sz w:val="24"/>
                <w:szCs w:val="24"/>
              </w:rPr>
              <w:t>Project D</w:t>
            </w:r>
          </w:p>
        </w:tc>
        <w:tc>
          <w:tcPr>
            <w:tcW w:w="895" w:type="pct"/>
            <w:tcBorders>
              <w:top w:val="nil"/>
              <w:left w:val="nil"/>
              <w:bottom w:val="nil"/>
              <w:right w:val="nil"/>
            </w:tcBorders>
            <w:shd w:val="clear" w:color="auto" w:fill="auto"/>
            <w:noWrap/>
            <w:vAlign w:val="bottom"/>
            <w:hideMark/>
          </w:tcPr>
          <w:p w:rsidR="00E97688" w:rsidRPr="00E97688" w:rsidRDefault="00E97688" w:rsidP="007617F0">
            <w:pPr>
              <w:spacing w:after="0" w:line="360" w:lineRule="auto"/>
              <w:jc w:val="center"/>
              <w:rPr>
                <w:rFonts w:ascii="Times New Roman" w:eastAsia="Times New Roman" w:hAnsi="Times New Roman"/>
                <w:color w:val="000000"/>
                <w:sz w:val="24"/>
                <w:szCs w:val="24"/>
              </w:rPr>
            </w:pPr>
            <w:r w:rsidRPr="00E97688">
              <w:rPr>
                <w:rFonts w:ascii="Times New Roman" w:eastAsia="Times New Roman" w:hAnsi="Times New Roman"/>
                <w:color w:val="000000"/>
                <w:sz w:val="24"/>
                <w:szCs w:val="24"/>
              </w:rPr>
              <w:t>21.83%</w:t>
            </w:r>
          </w:p>
        </w:tc>
        <w:tc>
          <w:tcPr>
            <w:tcW w:w="1396" w:type="pct"/>
            <w:tcBorders>
              <w:top w:val="nil"/>
              <w:left w:val="nil"/>
              <w:bottom w:val="nil"/>
              <w:right w:val="nil"/>
            </w:tcBorders>
            <w:shd w:val="clear" w:color="auto" w:fill="auto"/>
            <w:noWrap/>
            <w:vAlign w:val="bottom"/>
            <w:hideMark/>
          </w:tcPr>
          <w:p w:rsidR="00E97688" w:rsidRPr="00E97688" w:rsidRDefault="00E97688" w:rsidP="007617F0">
            <w:pPr>
              <w:spacing w:after="0" w:line="360" w:lineRule="auto"/>
              <w:jc w:val="center"/>
              <w:rPr>
                <w:rFonts w:ascii="Times New Roman" w:eastAsia="Times New Roman" w:hAnsi="Times New Roman"/>
                <w:color w:val="000000"/>
                <w:sz w:val="24"/>
                <w:szCs w:val="24"/>
              </w:rPr>
            </w:pPr>
            <w:r w:rsidRPr="00E97688">
              <w:rPr>
                <w:rFonts w:ascii="Times New Roman" w:eastAsia="Times New Roman" w:hAnsi="Times New Roman"/>
                <w:color w:val="000000"/>
                <w:sz w:val="24"/>
                <w:szCs w:val="24"/>
              </w:rPr>
              <w:t>10%</w:t>
            </w:r>
          </w:p>
        </w:tc>
        <w:tc>
          <w:tcPr>
            <w:tcW w:w="1650" w:type="pct"/>
            <w:tcBorders>
              <w:top w:val="nil"/>
              <w:left w:val="nil"/>
              <w:bottom w:val="nil"/>
              <w:right w:val="single" w:sz="4" w:space="0" w:color="auto"/>
            </w:tcBorders>
            <w:shd w:val="clear" w:color="auto" w:fill="auto"/>
            <w:noWrap/>
            <w:vAlign w:val="bottom"/>
            <w:hideMark/>
          </w:tcPr>
          <w:p w:rsidR="00E97688" w:rsidRPr="00E97688" w:rsidRDefault="00E97688" w:rsidP="007617F0">
            <w:pPr>
              <w:spacing w:after="0" w:line="360" w:lineRule="auto"/>
              <w:jc w:val="center"/>
              <w:rPr>
                <w:rFonts w:ascii="Times New Roman" w:eastAsia="Times New Roman" w:hAnsi="Times New Roman"/>
                <w:color w:val="000000"/>
                <w:sz w:val="24"/>
                <w:szCs w:val="24"/>
              </w:rPr>
            </w:pPr>
            <w:r w:rsidRPr="00E97688">
              <w:rPr>
                <w:rFonts w:ascii="Times New Roman" w:eastAsia="Times New Roman" w:hAnsi="Times New Roman"/>
                <w:color w:val="000000"/>
                <w:sz w:val="24"/>
                <w:szCs w:val="24"/>
              </w:rPr>
              <w:t>Accept</w:t>
            </w:r>
          </w:p>
        </w:tc>
      </w:tr>
      <w:tr w:rsidR="00E97688" w:rsidRPr="00E97688" w:rsidTr="00E97688">
        <w:trPr>
          <w:trHeight w:val="255"/>
          <w:jc w:val="center"/>
        </w:trPr>
        <w:tc>
          <w:tcPr>
            <w:tcW w:w="1058" w:type="pct"/>
            <w:tcBorders>
              <w:top w:val="nil"/>
              <w:left w:val="single" w:sz="4" w:space="0" w:color="auto"/>
              <w:bottom w:val="single" w:sz="4" w:space="0" w:color="auto"/>
              <w:right w:val="nil"/>
            </w:tcBorders>
            <w:shd w:val="clear" w:color="auto" w:fill="auto"/>
            <w:noWrap/>
            <w:vAlign w:val="bottom"/>
            <w:hideMark/>
          </w:tcPr>
          <w:p w:rsidR="00E97688" w:rsidRPr="00E97688" w:rsidRDefault="00E97688" w:rsidP="00452F70">
            <w:pPr>
              <w:spacing w:after="0" w:line="360" w:lineRule="auto"/>
              <w:rPr>
                <w:rFonts w:ascii="Times New Roman" w:eastAsia="Times New Roman" w:hAnsi="Times New Roman"/>
                <w:color w:val="000000"/>
                <w:sz w:val="24"/>
                <w:szCs w:val="24"/>
              </w:rPr>
            </w:pPr>
            <w:r w:rsidRPr="00E97688">
              <w:rPr>
                <w:rFonts w:ascii="Times New Roman" w:eastAsia="Times New Roman" w:hAnsi="Times New Roman"/>
                <w:color w:val="000000"/>
                <w:sz w:val="24"/>
                <w:szCs w:val="24"/>
              </w:rPr>
              <w:t>Project E</w:t>
            </w:r>
          </w:p>
        </w:tc>
        <w:tc>
          <w:tcPr>
            <w:tcW w:w="895" w:type="pct"/>
            <w:tcBorders>
              <w:top w:val="nil"/>
              <w:left w:val="nil"/>
              <w:bottom w:val="single" w:sz="4" w:space="0" w:color="auto"/>
              <w:right w:val="nil"/>
            </w:tcBorders>
            <w:shd w:val="clear" w:color="auto" w:fill="auto"/>
            <w:noWrap/>
            <w:vAlign w:val="bottom"/>
            <w:hideMark/>
          </w:tcPr>
          <w:p w:rsidR="00E97688" w:rsidRPr="00E97688" w:rsidRDefault="00E97688" w:rsidP="007617F0">
            <w:pPr>
              <w:spacing w:after="0" w:line="360" w:lineRule="auto"/>
              <w:jc w:val="center"/>
              <w:rPr>
                <w:rFonts w:ascii="Times New Roman" w:eastAsia="Times New Roman" w:hAnsi="Times New Roman"/>
                <w:color w:val="000000"/>
                <w:sz w:val="24"/>
                <w:szCs w:val="24"/>
              </w:rPr>
            </w:pPr>
            <w:r w:rsidRPr="00E97688">
              <w:rPr>
                <w:rFonts w:ascii="Times New Roman" w:eastAsia="Times New Roman" w:hAnsi="Times New Roman"/>
                <w:color w:val="000000"/>
                <w:sz w:val="24"/>
                <w:szCs w:val="24"/>
              </w:rPr>
              <w:t>5.03%</w:t>
            </w:r>
          </w:p>
        </w:tc>
        <w:tc>
          <w:tcPr>
            <w:tcW w:w="1396" w:type="pct"/>
            <w:tcBorders>
              <w:top w:val="nil"/>
              <w:left w:val="nil"/>
              <w:bottom w:val="single" w:sz="4" w:space="0" w:color="auto"/>
              <w:right w:val="nil"/>
            </w:tcBorders>
            <w:shd w:val="clear" w:color="auto" w:fill="auto"/>
            <w:noWrap/>
            <w:vAlign w:val="bottom"/>
            <w:hideMark/>
          </w:tcPr>
          <w:p w:rsidR="00E97688" w:rsidRPr="00E97688" w:rsidRDefault="00E97688" w:rsidP="007617F0">
            <w:pPr>
              <w:spacing w:after="0" w:line="360" w:lineRule="auto"/>
              <w:jc w:val="center"/>
              <w:rPr>
                <w:rFonts w:ascii="Times New Roman" w:eastAsia="Times New Roman" w:hAnsi="Times New Roman"/>
                <w:color w:val="000000"/>
                <w:sz w:val="24"/>
                <w:szCs w:val="24"/>
              </w:rPr>
            </w:pPr>
            <w:r w:rsidRPr="00E97688">
              <w:rPr>
                <w:rFonts w:ascii="Times New Roman" w:eastAsia="Times New Roman" w:hAnsi="Times New Roman"/>
                <w:color w:val="000000"/>
                <w:sz w:val="24"/>
                <w:szCs w:val="24"/>
              </w:rPr>
              <w:t>10%</w:t>
            </w:r>
          </w:p>
        </w:tc>
        <w:tc>
          <w:tcPr>
            <w:tcW w:w="1650" w:type="pct"/>
            <w:tcBorders>
              <w:top w:val="nil"/>
              <w:left w:val="nil"/>
              <w:bottom w:val="single" w:sz="4" w:space="0" w:color="auto"/>
              <w:right w:val="single" w:sz="4" w:space="0" w:color="auto"/>
            </w:tcBorders>
            <w:shd w:val="clear" w:color="auto" w:fill="auto"/>
            <w:noWrap/>
            <w:vAlign w:val="bottom"/>
            <w:hideMark/>
          </w:tcPr>
          <w:p w:rsidR="00E97688" w:rsidRPr="00E97688" w:rsidRDefault="00E97688" w:rsidP="007617F0">
            <w:pPr>
              <w:spacing w:after="0" w:line="360" w:lineRule="auto"/>
              <w:jc w:val="center"/>
              <w:rPr>
                <w:rFonts w:ascii="Times New Roman" w:eastAsia="Times New Roman" w:hAnsi="Times New Roman"/>
                <w:color w:val="000000"/>
                <w:sz w:val="24"/>
                <w:szCs w:val="24"/>
              </w:rPr>
            </w:pPr>
            <w:r w:rsidRPr="00E97688">
              <w:rPr>
                <w:rFonts w:ascii="Times New Roman" w:eastAsia="Times New Roman" w:hAnsi="Times New Roman"/>
                <w:color w:val="000000"/>
                <w:sz w:val="24"/>
                <w:szCs w:val="24"/>
              </w:rPr>
              <w:t>Reject</w:t>
            </w:r>
          </w:p>
        </w:tc>
      </w:tr>
    </w:tbl>
    <w:p w:rsidR="00BE7956" w:rsidRPr="00BE7956" w:rsidRDefault="007617F0" w:rsidP="00E97688">
      <w:pPr>
        <w:spacing w:before="240" w:line="480" w:lineRule="auto"/>
        <w:ind w:firstLine="360"/>
        <w:jc w:val="both"/>
        <w:rPr>
          <w:rFonts w:ascii="Times New Roman" w:hAnsi="Times New Roman"/>
          <w:sz w:val="24"/>
          <w:szCs w:val="24"/>
        </w:rPr>
      </w:pPr>
      <w:r w:rsidRPr="00BE7956">
        <w:rPr>
          <w:rFonts w:ascii="Times New Roman" w:hAnsi="Times New Roman"/>
          <w:sz w:val="24"/>
          <w:szCs w:val="24"/>
        </w:rPr>
        <w:t>Further, if all three projects as indicated above are accepted the company will remain within its available capital budget of USD 170,000 as total required investment within the three projects is USD 135,000.</w:t>
      </w:r>
    </w:p>
    <w:p w:rsidR="00BE7956" w:rsidRPr="00BE7956" w:rsidRDefault="00BE7956">
      <w:pPr>
        <w:rPr>
          <w:rFonts w:ascii="Times New Roman" w:hAnsi="Times New Roman"/>
          <w:sz w:val="24"/>
          <w:szCs w:val="24"/>
        </w:rPr>
      </w:pPr>
      <w:r w:rsidRPr="00BE7956">
        <w:rPr>
          <w:rFonts w:ascii="Times New Roman" w:hAnsi="Times New Roman"/>
          <w:sz w:val="24"/>
          <w:szCs w:val="24"/>
        </w:rPr>
        <w:br w:type="page"/>
      </w:r>
    </w:p>
    <w:p w:rsidR="00BE7956" w:rsidRPr="00BE7956" w:rsidRDefault="00BE7956" w:rsidP="00BE7956">
      <w:pPr>
        <w:spacing w:after="100" w:afterAutospacing="1" w:line="480" w:lineRule="auto"/>
        <w:outlineLvl w:val="1"/>
        <w:rPr>
          <w:rFonts w:ascii="Times New Roman" w:eastAsia="Times New Roman" w:hAnsi="Times New Roman"/>
          <w:b/>
          <w:color w:val="000000"/>
          <w:sz w:val="24"/>
          <w:szCs w:val="24"/>
        </w:rPr>
      </w:pPr>
      <w:r w:rsidRPr="00BE7956">
        <w:rPr>
          <w:rFonts w:ascii="Times New Roman" w:eastAsia="Times New Roman" w:hAnsi="Times New Roman"/>
          <w:b/>
          <w:color w:val="000000"/>
          <w:sz w:val="24"/>
          <w:szCs w:val="24"/>
        </w:rPr>
        <w:lastRenderedPageBreak/>
        <w:t>References</w:t>
      </w:r>
    </w:p>
    <w:p w:rsidR="00BE7956" w:rsidRPr="00BE7956" w:rsidRDefault="00BE7956" w:rsidP="00BE7956">
      <w:pPr>
        <w:spacing w:after="224" w:line="480" w:lineRule="auto"/>
        <w:ind w:left="561" w:hanging="561"/>
        <w:rPr>
          <w:rFonts w:ascii="Times New Roman" w:eastAsia="Times New Roman" w:hAnsi="Times New Roman"/>
          <w:color w:val="000000"/>
          <w:sz w:val="24"/>
          <w:szCs w:val="24"/>
        </w:rPr>
      </w:pPr>
      <w:r w:rsidRPr="00BE7956">
        <w:rPr>
          <w:rFonts w:ascii="Times New Roman" w:eastAsia="Times New Roman" w:hAnsi="Times New Roman"/>
          <w:color w:val="000000"/>
          <w:sz w:val="24"/>
          <w:szCs w:val="24"/>
        </w:rPr>
        <w:t>Dayananda, D., 2008. </w:t>
      </w:r>
      <w:r w:rsidRPr="00BE7956">
        <w:rPr>
          <w:rFonts w:ascii="Times New Roman" w:eastAsia="Times New Roman" w:hAnsi="Times New Roman"/>
          <w:i/>
          <w:iCs/>
          <w:color w:val="000000"/>
          <w:sz w:val="24"/>
          <w:szCs w:val="24"/>
        </w:rPr>
        <w:t>Capital Budgeting: Financial Appraisal of Investment Projects</w:t>
      </w:r>
      <w:r w:rsidRPr="00BE7956">
        <w:rPr>
          <w:rFonts w:ascii="Times New Roman" w:eastAsia="Times New Roman" w:hAnsi="Times New Roman"/>
          <w:color w:val="000000"/>
          <w:sz w:val="24"/>
          <w:szCs w:val="24"/>
        </w:rPr>
        <w:t>. Cambridge.</w:t>
      </w:r>
    </w:p>
    <w:p w:rsidR="00BE7956" w:rsidRPr="00BE7956" w:rsidRDefault="00BE7956" w:rsidP="00BE7956">
      <w:pPr>
        <w:spacing w:after="224" w:line="480" w:lineRule="auto"/>
        <w:ind w:left="561" w:hanging="561"/>
        <w:rPr>
          <w:rFonts w:ascii="Times New Roman" w:eastAsia="Times New Roman" w:hAnsi="Times New Roman"/>
          <w:color w:val="000000"/>
          <w:sz w:val="27"/>
          <w:szCs w:val="27"/>
        </w:rPr>
      </w:pPr>
      <w:r w:rsidRPr="00BE7956">
        <w:rPr>
          <w:rFonts w:ascii="Times New Roman" w:eastAsia="Times New Roman" w:hAnsi="Times New Roman"/>
          <w:color w:val="000000"/>
          <w:sz w:val="24"/>
          <w:szCs w:val="24"/>
        </w:rPr>
        <w:t>Fabozzi, F., 2002. </w:t>
      </w:r>
      <w:r w:rsidRPr="00BE7956">
        <w:rPr>
          <w:rFonts w:ascii="Times New Roman" w:eastAsia="Times New Roman" w:hAnsi="Times New Roman"/>
          <w:i/>
          <w:iCs/>
          <w:color w:val="000000"/>
          <w:sz w:val="24"/>
          <w:szCs w:val="24"/>
        </w:rPr>
        <w:t>Capital Budgeting: Theory and Practice</w:t>
      </w:r>
      <w:r w:rsidRPr="00BE7956">
        <w:rPr>
          <w:rFonts w:ascii="Times New Roman" w:eastAsia="Times New Roman" w:hAnsi="Times New Roman"/>
          <w:color w:val="000000"/>
          <w:sz w:val="24"/>
          <w:szCs w:val="24"/>
        </w:rPr>
        <w:t>. Wiley</w:t>
      </w:r>
      <w:r w:rsidRPr="00BE7956">
        <w:rPr>
          <w:rFonts w:ascii="Times New Roman" w:eastAsia="Times New Roman" w:hAnsi="Times New Roman"/>
          <w:color w:val="000000"/>
          <w:sz w:val="27"/>
          <w:szCs w:val="27"/>
        </w:rPr>
        <w:t>.</w:t>
      </w:r>
    </w:p>
    <w:p w:rsidR="00E97688" w:rsidRPr="00E97688" w:rsidRDefault="00E97688" w:rsidP="00E97688">
      <w:pPr>
        <w:spacing w:before="240" w:line="480" w:lineRule="auto"/>
        <w:ind w:firstLine="360"/>
        <w:jc w:val="both"/>
        <w:rPr>
          <w:rFonts w:ascii="Times New Roman" w:hAnsi="Times New Roman"/>
          <w:sz w:val="24"/>
          <w:szCs w:val="24"/>
        </w:rPr>
      </w:pPr>
    </w:p>
    <w:p w:rsidR="001C33E5" w:rsidRPr="001C33E5" w:rsidRDefault="001C33E5" w:rsidP="001C33E5">
      <w:pPr>
        <w:spacing w:line="480" w:lineRule="auto"/>
        <w:ind w:firstLine="360"/>
        <w:rPr>
          <w:rFonts w:ascii="Times New Roman" w:hAnsi="Times New Roman"/>
          <w:sz w:val="24"/>
          <w:szCs w:val="24"/>
        </w:rPr>
      </w:pPr>
    </w:p>
    <w:sectPr w:rsidR="001C33E5" w:rsidRPr="001C33E5" w:rsidSect="00F503E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46A1" w:rsidRDefault="004646A1" w:rsidP="00140DD4">
      <w:pPr>
        <w:spacing w:after="0" w:line="240" w:lineRule="auto"/>
      </w:pPr>
      <w:r>
        <w:separator/>
      </w:r>
    </w:p>
  </w:endnote>
  <w:endnote w:type="continuationSeparator" w:id="1">
    <w:p w:rsidR="004646A1" w:rsidRDefault="004646A1" w:rsidP="00140D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6342876"/>
      <w:docPartObj>
        <w:docPartGallery w:val="Page Numbers (Bottom of Page)"/>
        <w:docPartUnique/>
      </w:docPartObj>
    </w:sdtPr>
    <w:sdtContent>
      <w:p w:rsidR="001E296E" w:rsidRDefault="001E296E">
        <w:pPr>
          <w:pStyle w:val="Footer"/>
          <w:jc w:val="right"/>
        </w:pPr>
        <w:fldSimple w:instr=" PAGE   \* MERGEFORMAT ">
          <w:r w:rsidR="00FC24A8">
            <w:rPr>
              <w:noProof/>
            </w:rPr>
            <w:t>2</w:t>
          </w:r>
        </w:fldSimple>
      </w:p>
    </w:sdtContent>
  </w:sdt>
  <w:p w:rsidR="001E296E" w:rsidRDefault="001E29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46A1" w:rsidRDefault="004646A1" w:rsidP="00140DD4">
      <w:pPr>
        <w:spacing w:after="0" w:line="240" w:lineRule="auto"/>
      </w:pPr>
      <w:r>
        <w:separator/>
      </w:r>
    </w:p>
  </w:footnote>
  <w:footnote w:type="continuationSeparator" w:id="1">
    <w:p w:rsidR="004646A1" w:rsidRDefault="004646A1" w:rsidP="00140D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96E" w:rsidRPr="00140DD4" w:rsidRDefault="001E296E" w:rsidP="00140DD4">
    <w:pPr>
      <w:pStyle w:val="Header"/>
      <w:pBdr>
        <w:bottom w:val="single" w:sz="4" w:space="1" w:color="auto"/>
      </w:pBdr>
      <w:rPr>
        <w:rFonts w:ascii="Times New Roman" w:hAnsi="Times New Roman"/>
        <w:sz w:val="24"/>
        <w:szCs w:val="24"/>
      </w:rPr>
    </w:pPr>
    <w:r w:rsidRPr="00140DD4">
      <w:rPr>
        <w:rFonts w:ascii="Times New Roman" w:hAnsi="Times New Roman"/>
        <w:b/>
        <w:bCs/>
        <w:color w:val="000000"/>
        <w:sz w:val="24"/>
        <w:szCs w:val="24"/>
      </w:rPr>
      <w:t xml:space="preserve">HIH 76420 Solution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422B6A"/>
    <w:multiLevelType w:val="hybridMultilevel"/>
    <w:tmpl w:val="63AC4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20"/>
  <w:characterSpacingControl w:val="doNotCompress"/>
  <w:footnotePr>
    <w:footnote w:id="0"/>
    <w:footnote w:id="1"/>
  </w:footnotePr>
  <w:endnotePr>
    <w:endnote w:id="0"/>
    <w:endnote w:id="1"/>
  </w:endnotePr>
  <w:compat/>
  <w:rsids>
    <w:rsidRoot w:val="00140DD4"/>
    <w:rsid w:val="000E21FD"/>
    <w:rsid w:val="00140DD4"/>
    <w:rsid w:val="00141DFA"/>
    <w:rsid w:val="001C33E5"/>
    <w:rsid w:val="001E296E"/>
    <w:rsid w:val="00452F70"/>
    <w:rsid w:val="004646A1"/>
    <w:rsid w:val="00605D23"/>
    <w:rsid w:val="007617F0"/>
    <w:rsid w:val="008935B8"/>
    <w:rsid w:val="008B6030"/>
    <w:rsid w:val="00A71E44"/>
    <w:rsid w:val="00AE5CF6"/>
    <w:rsid w:val="00B05AA5"/>
    <w:rsid w:val="00B72E71"/>
    <w:rsid w:val="00BE7956"/>
    <w:rsid w:val="00DF100C"/>
    <w:rsid w:val="00E97688"/>
    <w:rsid w:val="00F503EC"/>
    <w:rsid w:val="00F8094E"/>
    <w:rsid w:val="00FC24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03EC"/>
  </w:style>
  <w:style w:type="paragraph" w:styleId="Heading2">
    <w:name w:val="heading 2"/>
    <w:basedOn w:val="Normal"/>
    <w:link w:val="Heading2Char"/>
    <w:uiPriority w:val="9"/>
    <w:qFormat/>
    <w:rsid w:val="00BE7956"/>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40DD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40DD4"/>
  </w:style>
  <w:style w:type="paragraph" w:styleId="Footer">
    <w:name w:val="footer"/>
    <w:basedOn w:val="Normal"/>
    <w:link w:val="FooterChar"/>
    <w:uiPriority w:val="99"/>
    <w:unhideWhenUsed/>
    <w:rsid w:val="00140D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0DD4"/>
  </w:style>
  <w:style w:type="paragraph" w:styleId="ListParagraph">
    <w:name w:val="List Paragraph"/>
    <w:basedOn w:val="Normal"/>
    <w:uiPriority w:val="34"/>
    <w:qFormat/>
    <w:rsid w:val="001C33E5"/>
    <w:pPr>
      <w:ind w:left="720"/>
      <w:contextualSpacing/>
    </w:pPr>
  </w:style>
  <w:style w:type="paragraph" w:styleId="BalloonText">
    <w:name w:val="Balloon Text"/>
    <w:basedOn w:val="Normal"/>
    <w:link w:val="BalloonTextChar"/>
    <w:uiPriority w:val="99"/>
    <w:semiHidden/>
    <w:unhideWhenUsed/>
    <w:rsid w:val="00F809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94E"/>
    <w:rPr>
      <w:rFonts w:ascii="Tahoma" w:hAnsi="Tahoma" w:cs="Tahoma"/>
      <w:sz w:val="16"/>
      <w:szCs w:val="16"/>
    </w:rPr>
  </w:style>
  <w:style w:type="character" w:customStyle="1" w:styleId="Heading2Char">
    <w:name w:val="Heading 2 Char"/>
    <w:basedOn w:val="DefaultParagraphFont"/>
    <w:link w:val="Heading2"/>
    <w:uiPriority w:val="9"/>
    <w:rsid w:val="00BE7956"/>
    <w:rPr>
      <w:rFonts w:ascii="Times New Roman" w:eastAsia="Times New Roman" w:hAnsi="Times New Roman"/>
      <w:b/>
      <w:bCs/>
      <w:sz w:val="36"/>
      <w:szCs w:val="36"/>
    </w:rPr>
  </w:style>
  <w:style w:type="paragraph" w:styleId="NormalWeb">
    <w:name w:val="Normal (Web)"/>
    <w:basedOn w:val="Normal"/>
    <w:uiPriority w:val="99"/>
    <w:semiHidden/>
    <w:unhideWhenUsed/>
    <w:rsid w:val="00BE7956"/>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227759529">
      <w:bodyDiv w:val="1"/>
      <w:marLeft w:val="0"/>
      <w:marRight w:val="0"/>
      <w:marTop w:val="0"/>
      <w:marBottom w:val="0"/>
      <w:divBdr>
        <w:top w:val="none" w:sz="0" w:space="0" w:color="auto"/>
        <w:left w:val="none" w:sz="0" w:space="0" w:color="auto"/>
        <w:bottom w:val="none" w:sz="0" w:space="0" w:color="auto"/>
        <w:right w:val="none" w:sz="0" w:space="0" w:color="auto"/>
      </w:divBdr>
    </w:div>
    <w:div w:id="1656252192">
      <w:bodyDiv w:val="1"/>
      <w:marLeft w:val="0"/>
      <w:marRight w:val="0"/>
      <w:marTop w:val="0"/>
      <w:marBottom w:val="0"/>
      <w:divBdr>
        <w:top w:val="none" w:sz="0" w:space="0" w:color="auto"/>
        <w:left w:val="none" w:sz="0" w:space="0" w:color="auto"/>
        <w:bottom w:val="none" w:sz="0" w:space="0" w:color="auto"/>
        <w:right w:val="none" w:sz="0" w:space="0" w:color="auto"/>
      </w:divBdr>
    </w:div>
    <w:div w:id="1881043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awais.imran\Desktop\New%20Microsoft%20Office%20Excel%20Workshee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Investment Oppurtunity Schedule</a:t>
            </a:r>
          </a:p>
        </c:rich>
      </c:tx>
    </c:title>
    <c:plotArea>
      <c:layout/>
      <c:barChart>
        <c:barDir val="col"/>
        <c:grouping val="clustered"/>
        <c:ser>
          <c:idx val="0"/>
          <c:order val="0"/>
          <c:tx>
            <c:strRef>
              <c:f>Sheet1!$C$13</c:f>
              <c:strCache>
                <c:ptCount val="1"/>
                <c:pt idx="0">
                  <c:v>IRR</c:v>
                </c:pt>
              </c:strCache>
            </c:strRef>
          </c:tx>
          <c:cat>
            <c:numRef>
              <c:f>Sheet1!$D$14:$D$18</c:f>
              <c:numCache>
                <c:formatCode>_(* #,##0.00_);_(* \(#,##0.00\);_(* "-"??_);_(@_)</c:formatCode>
                <c:ptCount val="5"/>
                <c:pt idx="0">
                  <c:v>10000</c:v>
                </c:pt>
                <c:pt idx="1">
                  <c:v>35000</c:v>
                </c:pt>
                <c:pt idx="2">
                  <c:v>135000</c:v>
                </c:pt>
                <c:pt idx="3">
                  <c:v>175000</c:v>
                </c:pt>
                <c:pt idx="4">
                  <c:v>325000</c:v>
                </c:pt>
              </c:numCache>
            </c:numRef>
          </c:cat>
          <c:val>
            <c:numRef>
              <c:f>Sheet1!$C$14:$C$18</c:f>
              <c:numCache>
                <c:formatCode>0.00%</c:formatCode>
                <c:ptCount val="5"/>
                <c:pt idx="0">
                  <c:v>0.21834649926725175</c:v>
                </c:pt>
                <c:pt idx="1">
                  <c:v>0.16012522279043623</c:v>
                </c:pt>
                <c:pt idx="2">
                  <c:v>0.10221261886600863</c:v>
                </c:pt>
                <c:pt idx="3">
                  <c:v>6.5438167343519191E-2</c:v>
                </c:pt>
                <c:pt idx="4">
                  <c:v>5.0284176857903533E-2</c:v>
                </c:pt>
              </c:numCache>
            </c:numRef>
          </c:val>
        </c:ser>
        <c:axId val="134978944"/>
        <c:axId val="136907392"/>
      </c:barChart>
      <c:catAx>
        <c:axId val="134978944"/>
        <c:scaling>
          <c:orientation val="minMax"/>
        </c:scaling>
        <c:axPos val="b"/>
        <c:numFmt formatCode="_(* #,##0.00_);_(* \(#,##0.00\);_(* &quot;-&quot;??_);_(@_)" sourceLinked="1"/>
        <c:tickLblPos val="nextTo"/>
        <c:crossAx val="136907392"/>
        <c:crosses val="autoZero"/>
        <c:auto val="1"/>
        <c:lblAlgn val="ctr"/>
        <c:lblOffset val="100"/>
      </c:catAx>
      <c:valAx>
        <c:axId val="136907392"/>
        <c:scaling>
          <c:orientation val="minMax"/>
          <c:max val="0.18000000000000016"/>
          <c:min val="0"/>
        </c:scaling>
        <c:axPos val="l"/>
        <c:numFmt formatCode="0.00%" sourceLinked="1"/>
        <c:tickLblPos val="nextTo"/>
        <c:crossAx val="134978944"/>
        <c:crosses val="autoZero"/>
        <c:crossBetween val="between"/>
      </c:valAx>
    </c:plotArea>
    <c:plotVisOnly val="1"/>
  </c:chart>
  <c:txPr>
    <a:bodyPr/>
    <a:lstStyle/>
    <a:p>
      <a:pPr>
        <a:defRPr sz="800">
          <a:latin typeface="Times New Roman" pitchFamily="18" charset="0"/>
          <a:cs typeface="Times New Roman" pitchFamily="18" charset="0"/>
        </a:defRPr>
      </a:pPr>
      <a:endParaRPr lang="en-US"/>
    </a:p>
  </c:txPr>
  <c:externalData r:id="rId1"/>
  <c:userShapes r:id="rId2"/>
</c:chartSpace>
</file>

<file path=word/drawings/drawing1.xml><?xml version="1.0" encoding="utf-8"?>
<c:userShapes xmlns:c="http://schemas.openxmlformats.org/drawingml/2006/chart">
  <cdr:relSizeAnchor xmlns:cdr="http://schemas.openxmlformats.org/drawingml/2006/chartDrawing">
    <cdr:from>
      <cdr:x>0.17083</cdr:x>
      <cdr:y>0.33333</cdr:y>
    </cdr:from>
    <cdr:to>
      <cdr:x>0.23542</cdr:x>
      <cdr:y>0.59028</cdr:y>
    </cdr:to>
    <cdr:sp macro="" textlink="">
      <cdr:nvSpPr>
        <cdr:cNvPr id="2" name="TextBox 1"/>
        <cdr:cNvSpPr txBox="1"/>
      </cdr:nvSpPr>
      <cdr:spPr>
        <a:xfrm xmlns:a="http://schemas.openxmlformats.org/drawingml/2006/main">
          <a:off x="781049" y="914399"/>
          <a:ext cx="295275" cy="704851"/>
        </a:xfrm>
        <a:prstGeom xmlns:a="http://schemas.openxmlformats.org/drawingml/2006/main" prst="rect">
          <a:avLst/>
        </a:prstGeom>
      </cdr:spPr>
      <cdr:txBody>
        <a:bodyPr xmlns:a="http://schemas.openxmlformats.org/drawingml/2006/main" vert="vert270" wrap="square" rtlCol="0"/>
        <a:lstStyle xmlns:a="http://schemas.openxmlformats.org/drawingml/2006/main"/>
        <a:p xmlns:a="http://schemas.openxmlformats.org/drawingml/2006/main">
          <a:r>
            <a:rPr lang="en-US" sz="1000" b="1">
              <a:solidFill>
                <a:schemeClr val="bg1"/>
              </a:solidFill>
            </a:rPr>
            <a:t>Project</a:t>
          </a:r>
          <a:r>
            <a:rPr lang="en-US" sz="1000" b="1" baseline="0">
              <a:solidFill>
                <a:schemeClr val="bg1"/>
              </a:solidFill>
            </a:rPr>
            <a:t>  D </a:t>
          </a:r>
          <a:endParaRPr lang="en-US" sz="1000" b="1">
            <a:solidFill>
              <a:schemeClr val="bg1"/>
            </a:solidFill>
          </a:endParaRPr>
        </a:p>
      </cdr:txBody>
    </cdr:sp>
  </cdr:relSizeAnchor>
  <cdr:relSizeAnchor xmlns:cdr="http://schemas.openxmlformats.org/drawingml/2006/chartDrawing">
    <cdr:from>
      <cdr:x>0.33958</cdr:x>
      <cdr:y>0.44792</cdr:y>
    </cdr:from>
    <cdr:to>
      <cdr:x>0.40417</cdr:x>
      <cdr:y>0.70486</cdr:y>
    </cdr:to>
    <cdr:sp macro="" textlink="">
      <cdr:nvSpPr>
        <cdr:cNvPr id="3" name="TextBox 1"/>
        <cdr:cNvSpPr txBox="1"/>
      </cdr:nvSpPr>
      <cdr:spPr>
        <a:xfrm xmlns:a="http://schemas.openxmlformats.org/drawingml/2006/main">
          <a:off x="1552575" y="1228725"/>
          <a:ext cx="295275" cy="704851"/>
        </a:xfrm>
        <a:prstGeom xmlns:a="http://schemas.openxmlformats.org/drawingml/2006/main" prst="rect">
          <a:avLst/>
        </a:prstGeom>
      </cdr:spPr>
      <cdr:txBody>
        <a:bodyPr xmlns:a="http://schemas.openxmlformats.org/drawingml/2006/main" vert="vert270"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1000" b="1">
              <a:solidFill>
                <a:schemeClr val="bg1"/>
              </a:solidFill>
            </a:rPr>
            <a:t>Project</a:t>
          </a:r>
          <a:r>
            <a:rPr lang="en-US" sz="1000" b="1" baseline="0">
              <a:solidFill>
                <a:schemeClr val="bg1"/>
              </a:solidFill>
            </a:rPr>
            <a:t>  B </a:t>
          </a:r>
          <a:endParaRPr lang="en-US" sz="1000" b="1">
            <a:solidFill>
              <a:schemeClr val="bg1"/>
            </a:solidFill>
          </a:endParaRPr>
        </a:p>
      </cdr:txBody>
    </cdr:sp>
  </cdr:relSizeAnchor>
  <cdr:relSizeAnchor xmlns:cdr="http://schemas.openxmlformats.org/drawingml/2006/chartDrawing">
    <cdr:from>
      <cdr:x>0.5125</cdr:x>
      <cdr:y>0.52778</cdr:y>
    </cdr:from>
    <cdr:to>
      <cdr:x>0.57708</cdr:x>
      <cdr:y>0.78472</cdr:y>
    </cdr:to>
    <cdr:sp macro="" textlink="">
      <cdr:nvSpPr>
        <cdr:cNvPr id="4" name="TextBox 1"/>
        <cdr:cNvSpPr txBox="1"/>
      </cdr:nvSpPr>
      <cdr:spPr>
        <a:xfrm xmlns:a="http://schemas.openxmlformats.org/drawingml/2006/main">
          <a:off x="2343150" y="1447800"/>
          <a:ext cx="295275" cy="704851"/>
        </a:xfrm>
        <a:prstGeom xmlns:a="http://schemas.openxmlformats.org/drawingml/2006/main" prst="rect">
          <a:avLst/>
        </a:prstGeom>
      </cdr:spPr>
      <cdr:txBody>
        <a:bodyPr xmlns:a="http://schemas.openxmlformats.org/drawingml/2006/main" vert="vert270"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000" b="1">
              <a:solidFill>
                <a:sysClr val="window" lastClr="FFFFFF"/>
              </a:solidFill>
            </a:rPr>
            <a:t>Project</a:t>
          </a:r>
          <a:r>
            <a:rPr lang="en-US" sz="1000" b="1" baseline="0">
              <a:solidFill>
                <a:sysClr val="window" lastClr="FFFFFF"/>
              </a:solidFill>
            </a:rPr>
            <a:t>  A </a:t>
          </a:r>
          <a:endParaRPr lang="en-US" sz="1000" b="1">
            <a:solidFill>
              <a:sysClr val="window" lastClr="FFFFFF"/>
            </a:solidFill>
          </a:endParaRPr>
        </a:p>
      </cdr:txBody>
    </cdr:sp>
  </cdr:relSizeAnchor>
  <cdr:relSizeAnchor xmlns:cdr="http://schemas.openxmlformats.org/drawingml/2006/chartDrawing">
    <cdr:from>
      <cdr:x>0.67917</cdr:x>
      <cdr:y>0.625</cdr:y>
    </cdr:from>
    <cdr:to>
      <cdr:x>0.74375</cdr:x>
      <cdr:y>0.83333</cdr:y>
    </cdr:to>
    <cdr:sp macro="" textlink="">
      <cdr:nvSpPr>
        <cdr:cNvPr id="5" name="TextBox 1"/>
        <cdr:cNvSpPr txBox="1"/>
      </cdr:nvSpPr>
      <cdr:spPr>
        <a:xfrm xmlns:a="http://schemas.openxmlformats.org/drawingml/2006/main">
          <a:off x="3105150" y="1714500"/>
          <a:ext cx="295275" cy="571501"/>
        </a:xfrm>
        <a:prstGeom xmlns:a="http://schemas.openxmlformats.org/drawingml/2006/main" prst="rect">
          <a:avLst/>
        </a:prstGeom>
      </cdr:spPr>
      <cdr:txBody>
        <a:bodyPr xmlns:a="http://schemas.openxmlformats.org/drawingml/2006/main" vert="vert270"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000" b="1" baseline="0">
              <a:solidFill>
                <a:sysClr val="window" lastClr="FFFFFF"/>
              </a:solidFill>
            </a:rPr>
            <a:t>Project</a:t>
          </a:r>
          <a:r>
            <a:rPr lang="en-US" sz="900" b="1" baseline="0">
              <a:solidFill>
                <a:sysClr val="window" lastClr="FFFFFF"/>
              </a:solidFill>
            </a:rPr>
            <a:t> C  </a:t>
          </a:r>
          <a:endParaRPr lang="en-US" sz="900" b="1">
            <a:solidFill>
              <a:sysClr val="window" lastClr="FFFFFF"/>
            </a:solidFill>
          </a:endParaRPr>
        </a:p>
      </cdr:txBody>
    </cdr:sp>
  </cdr:relSizeAnchor>
  <cdr:relSizeAnchor xmlns:cdr="http://schemas.openxmlformats.org/drawingml/2006/chartDrawing">
    <cdr:from>
      <cdr:x>0.83784</cdr:x>
      <cdr:y>0.64901</cdr:y>
    </cdr:from>
    <cdr:to>
      <cdr:x>0.90242</cdr:x>
      <cdr:y>0.8504</cdr:y>
    </cdr:to>
    <cdr:sp macro="" textlink="">
      <cdr:nvSpPr>
        <cdr:cNvPr id="6" name="TextBox 1"/>
        <cdr:cNvSpPr txBox="1"/>
      </cdr:nvSpPr>
      <cdr:spPr>
        <a:xfrm xmlns:a="http://schemas.openxmlformats.org/drawingml/2006/main">
          <a:off x="3274171" y="1828658"/>
          <a:ext cx="252369" cy="567442"/>
        </a:xfrm>
        <a:prstGeom xmlns:a="http://schemas.openxmlformats.org/drawingml/2006/main" prst="rect">
          <a:avLst/>
        </a:prstGeom>
      </cdr:spPr>
      <cdr:txBody>
        <a:bodyPr xmlns:a="http://schemas.openxmlformats.org/drawingml/2006/main" vert="vert270"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000" b="1" baseline="0">
              <a:solidFill>
                <a:sysClr val="window" lastClr="FFFFFF"/>
              </a:solidFill>
            </a:rPr>
            <a:t>Project E </a:t>
          </a:r>
          <a:endParaRPr lang="en-US" sz="1000" b="1">
            <a:solidFill>
              <a:sysClr val="window" lastClr="FFFFFF"/>
            </a:solidFill>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579</Words>
  <Characters>3302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awais.imran</dc:creator>
  <cp:keywords/>
  <dc:description/>
  <cp:lastModifiedBy>awais.imran</cp:lastModifiedBy>
  <cp:revision>17</cp:revision>
  <dcterms:created xsi:type="dcterms:W3CDTF">2021-07-26T14:04:00Z</dcterms:created>
  <dcterms:modified xsi:type="dcterms:W3CDTF">2021-07-26T14:37:00Z</dcterms:modified>
</cp:coreProperties>
</file>